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38B" w:rsidRPr="0024417F" w:rsidRDefault="0097338B" w:rsidP="0097338B">
      <w:pPr>
        <w:pStyle w:val="TTEMEASMCA"/>
        <w:rPr>
          <w:rFonts w:ascii="Times New Roman Bold" w:hAnsi="Times New Roman Bold"/>
          <w:caps w:val="0"/>
          <w:lang w:val="lt-LT"/>
        </w:rPr>
      </w:pPr>
      <w:r>
        <w:rPr>
          <w:rFonts w:ascii="Times New Roman Bold" w:hAnsi="Times New Roman Bold"/>
          <w:caps w:val="0"/>
          <w:lang w:val="lt-LT"/>
        </w:rPr>
        <w:t>Pakuotės lapelis: informacija vartotojui</w:t>
      </w:r>
    </w:p>
    <w:p w:rsidR="0097338B" w:rsidRPr="00124A5D" w:rsidRDefault="0097338B" w:rsidP="0097338B">
      <w:pPr>
        <w:pStyle w:val="BTEMEASMCA"/>
        <w:rPr>
          <w:noProof w:val="0"/>
        </w:rPr>
      </w:pPr>
    </w:p>
    <w:p w:rsidR="0097338B" w:rsidRPr="00124A5D" w:rsidRDefault="0097338B" w:rsidP="0097338B">
      <w:pPr>
        <w:pStyle w:val="BTbeEMEASMCA"/>
        <w:rPr>
          <w:noProof w:val="0"/>
        </w:rPr>
      </w:pPr>
      <w:proofErr w:type="spellStart"/>
      <w:r w:rsidRPr="00124A5D">
        <w:rPr>
          <w:noProof w:val="0"/>
        </w:rPr>
        <w:t>Neurorubine</w:t>
      </w:r>
      <w:proofErr w:type="spellEnd"/>
      <w:r w:rsidRPr="00124A5D">
        <w:rPr>
          <w:noProof w:val="0"/>
        </w:rPr>
        <w:t xml:space="preserve"> injekcinis tirpalas</w:t>
      </w:r>
    </w:p>
    <w:p w:rsidR="0097338B" w:rsidRPr="00124A5D" w:rsidRDefault="0097338B" w:rsidP="0097338B">
      <w:pPr>
        <w:pStyle w:val="BTeEMEASMCA"/>
        <w:rPr>
          <w:noProof w:val="0"/>
        </w:rPr>
      </w:pPr>
      <w:r w:rsidRPr="00124A5D">
        <w:rPr>
          <w:noProof w:val="0"/>
        </w:rPr>
        <w:t>Tiamino hidrochloridas</w:t>
      </w:r>
      <w:r>
        <w:rPr>
          <w:noProof w:val="0"/>
        </w:rPr>
        <w:t xml:space="preserve">, </w:t>
      </w:r>
      <w:proofErr w:type="spellStart"/>
      <w:r>
        <w:rPr>
          <w:noProof w:val="0"/>
        </w:rPr>
        <w:t>p</w:t>
      </w:r>
      <w:r w:rsidRPr="00124A5D">
        <w:rPr>
          <w:noProof w:val="0"/>
        </w:rPr>
        <w:t>iridoksino</w:t>
      </w:r>
      <w:proofErr w:type="spellEnd"/>
      <w:r w:rsidRPr="00124A5D">
        <w:rPr>
          <w:noProof w:val="0"/>
        </w:rPr>
        <w:t xml:space="preserve"> hidrochloridas</w:t>
      </w:r>
      <w:r>
        <w:rPr>
          <w:noProof w:val="0"/>
        </w:rPr>
        <w:t xml:space="preserve">, </w:t>
      </w:r>
      <w:proofErr w:type="spellStart"/>
      <w:r>
        <w:rPr>
          <w:noProof w:val="0"/>
        </w:rPr>
        <w:t>c</w:t>
      </w:r>
      <w:r w:rsidRPr="00124A5D">
        <w:rPr>
          <w:noProof w:val="0"/>
        </w:rPr>
        <w:t>ianokobalaminas</w:t>
      </w:r>
      <w:proofErr w:type="spellEnd"/>
    </w:p>
    <w:p w:rsidR="0097338B" w:rsidRPr="00124A5D" w:rsidRDefault="0097338B" w:rsidP="0097338B">
      <w:pPr>
        <w:pStyle w:val="BTEMEASMCA"/>
        <w:rPr>
          <w:noProof w:val="0"/>
        </w:rPr>
      </w:pPr>
    </w:p>
    <w:p w:rsidR="0097338B" w:rsidRPr="00124A5D" w:rsidRDefault="0097338B" w:rsidP="0097338B">
      <w:pPr>
        <w:pStyle w:val="BTbEMEASMCA"/>
        <w:rPr>
          <w:noProof w:val="0"/>
        </w:rPr>
      </w:pPr>
      <w:r w:rsidRPr="00124A5D">
        <w:rPr>
          <w:noProof w:val="0"/>
        </w:rPr>
        <w:t>Atidžiai perskaitykite visą šį lapelį, prieš pradėdami vartoti vaistą</w:t>
      </w:r>
      <w:r w:rsidRPr="0024417F">
        <w:rPr>
          <w:szCs w:val="24"/>
        </w:rPr>
        <w:t>, nes jame pateikiama Jums svarbi informacija</w:t>
      </w:r>
      <w:r w:rsidRPr="00124A5D">
        <w:rPr>
          <w:noProof w:val="0"/>
        </w:rPr>
        <w:t>.</w:t>
      </w:r>
    </w:p>
    <w:p w:rsidR="0097338B" w:rsidRPr="00124A5D" w:rsidRDefault="0097338B" w:rsidP="0097338B">
      <w:pPr>
        <w:pStyle w:val="BT-EMEASMCA"/>
      </w:pPr>
      <w:r w:rsidRPr="00124A5D">
        <w:t>Neišmeskite šio lapelio, nes vėl gali prireikti jį perskaityti.</w:t>
      </w:r>
    </w:p>
    <w:p w:rsidR="0097338B" w:rsidRPr="00124A5D" w:rsidRDefault="0097338B" w:rsidP="0097338B">
      <w:pPr>
        <w:pStyle w:val="BT-EMEASMCA"/>
      </w:pPr>
      <w:r w:rsidRPr="00124A5D">
        <w:t>Jeigu kiltų daugiau klausimų, kreipkitės į gydytoją arba vaistininką.</w:t>
      </w:r>
    </w:p>
    <w:p w:rsidR="0097338B" w:rsidRPr="00124A5D" w:rsidRDefault="0097338B" w:rsidP="0097338B">
      <w:pPr>
        <w:pStyle w:val="BT-EMEASMCA"/>
      </w:pPr>
      <w:r w:rsidRPr="00124A5D">
        <w:t xml:space="preserve">Šis vaistas skirtas </w:t>
      </w:r>
      <w:r>
        <w:t xml:space="preserve">tik </w:t>
      </w:r>
      <w:r w:rsidRPr="00124A5D">
        <w:t xml:space="preserve">Jums, todėl kitiems žmonėms jo duoti negalima. Vaistas gali jiems pakenkti (net tiems, kurių ligos </w:t>
      </w:r>
      <w:r>
        <w:t>požymiai</w:t>
      </w:r>
      <w:r w:rsidRPr="00124A5D">
        <w:t xml:space="preserve"> yra tokie patys kaip Jūsų).</w:t>
      </w:r>
    </w:p>
    <w:p w:rsidR="0097338B" w:rsidRPr="00124A5D" w:rsidRDefault="0097338B" w:rsidP="0097338B">
      <w:pPr>
        <w:pStyle w:val="BT-EMEASMCA"/>
      </w:pPr>
      <w:r w:rsidRPr="00124A5D">
        <w:t xml:space="preserve">Jeigu pasireiškė sunkus šalutinis poveikis </w:t>
      </w:r>
      <w:r w:rsidRPr="00B34FA1">
        <w:rPr>
          <w:szCs w:val="24"/>
        </w:rPr>
        <w:t>(net jeigu jis šiame lapelyje nenurodytas),</w:t>
      </w:r>
      <w:r>
        <w:rPr>
          <w:szCs w:val="24"/>
        </w:rPr>
        <w:t xml:space="preserve"> </w:t>
      </w:r>
      <w:r>
        <w:t>kreipkitės į</w:t>
      </w:r>
      <w:r w:rsidRPr="00124A5D">
        <w:t xml:space="preserve"> gydytoj</w:t>
      </w:r>
      <w:r>
        <w:t>ą</w:t>
      </w:r>
      <w:r w:rsidRPr="00124A5D">
        <w:t xml:space="preserve"> arba vaistinink</w:t>
      </w:r>
      <w:r>
        <w:t>ą</w:t>
      </w:r>
      <w:r w:rsidRPr="00124A5D">
        <w:t>.</w:t>
      </w:r>
      <w:r>
        <w:t xml:space="preserve"> </w:t>
      </w:r>
      <w:r w:rsidRPr="00B34FA1">
        <w:rPr>
          <w:szCs w:val="24"/>
        </w:rPr>
        <w:t>Žr. 4 skyrių.</w:t>
      </w:r>
    </w:p>
    <w:p w:rsidR="0097338B" w:rsidRPr="00124A5D" w:rsidRDefault="0097338B" w:rsidP="0097338B">
      <w:pPr>
        <w:pStyle w:val="BTEMEASMCA"/>
        <w:rPr>
          <w:noProof w:val="0"/>
        </w:rPr>
      </w:pPr>
    </w:p>
    <w:p w:rsidR="0097338B" w:rsidRPr="00124A5D" w:rsidRDefault="0097338B" w:rsidP="0097338B">
      <w:pPr>
        <w:pStyle w:val="BTEMEASMCA"/>
        <w:rPr>
          <w:noProof w:val="0"/>
        </w:rPr>
      </w:pPr>
    </w:p>
    <w:p w:rsidR="0097338B" w:rsidRPr="00124A5D" w:rsidRDefault="0097338B" w:rsidP="0097338B">
      <w:pPr>
        <w:pStyle w:val="BTbEMEASMCA"/>
        <w:rPr>
          <w:noProof w:val="0"/>
        </w:rPr>
      </w:pPr>
      <w:r>
        <w:rPr>
          <w:noProof w:val="0"/>
        </w:rPr>
        <w:t>Apie ką rašoma šiame lapelyje?</w:t>
      </w:r>
    </w:p>
    <w:p w:rsidR="0097338B" w:rsidRPr="00124A5D" w:rsidRDefault="0097338B" w:rsidP="0097338B">
      <w:pPr>
        <w:pStyle w:val="BTEMEASMCA"/>
        <w:tabs>
          <w:tab w:val="left" w:pos="567"/>
        </w:tabs>
        <w:rPr>
          <w:noProof w:val="0"/>
        </w:rPr>
      </w:pPr>
      <w:r w:rsidRPr="00124A5D">
        <w:rPr>
          <w:noProof w:val="0"/>
        </w:rPr>
        <w:t>1.</w:t>
      </w:r>
      <w:r w:rsidRPr="00124A5D">
        <w:rPr>
          <w:noProof w:val="0"/>
        </w:rPr>
        <w:tab/>
        <w:t xml:space="preserve">Kas yra </w:t>
      </w:r>
      <w:proofErr w:type="spellStart"/>
      <w:r w:rsidRPr="00124A5D">
        <w:rPr>
          <w:noProof w:val="0"/>
        </w:rPr>
        <w:t>Neurorubine</w:t>
      </w:r>
      <w:proofErr w:type="spellEnd"/>
      <w:r w:rsidRPr="00124A5D">
        <w:rPr>
          <w:noProof w:val="0"/>
        </w:rPr>
        <w:t xml:space="preserve"> ir kam jis vartojamas</w:t>
      </w:r>
    </w:p>
    <w:p w:rsidR="0097338B" w:rsidRPr="00124A5D" w:rsidRDefault="0097338B" w:rsidP="0097338B">
      <w:pPr>
        <w:pStyle w:val="BTEMEASMCA"/>
        <w:tabs>
          <w:tab w:val="left" w:pos="567"/>
        </w:tabs>
        <w:rPr>
          <w:noProof w:val="0"/>
        </w:rPr>
      </w:pPr>
      <w:r w:rsidRPr="00124A5D">
        <w:rPr>
          <w:noProof w:val="0"/>
        </w:rPr>
        <w:t>2.</w:t>
      </w:r>
      <w:r w:rsidRPr="00124A5D">
        <w:rPr>
          <w:noProof w:val="0"/>
        </w:rPr>
        <w:tab/>
        <w:t xml:space="preserve">Kas žinotina prieš vartojant </w:t>
      </w:r>
      <w:proofErr w:type="spellStart"/>
      <w:r w:rsidRPr="00124A5D">
        <w:rPr>
          <w:noProof w:val="0"/>
        </w:rPr>
        <w:t>Neurorubine</w:t>
      </w:r>
      <w:proofErr w:type="spellEnd"/>
    </w:p>
    <w:p w:rsidR="0097338B" w:rsidRPr="00124A5D" w:rsidRDefault="0097338B" w:rsidP="0097338B">
      <w:pPr>
        <w:pStyle w:val="BTEMEASMCA"/>
        <w:tabs>
          <w:tab w:val="left" w:pos="567"/>
        </w:tabs>
        <w:rPr>
          <w:noProof w:val="0"/>
        </w:rPr>
      </w:pPr>
      <w:r w:rsidRPr="00124A5D">
        <w:rPr>
          <w:noProof w:val="0"/>
        </w:rPr>
        <w:t>3.</w:t>
      </w:r>
      <w:r w:rsidRPr="00124A5D">
        <w:rPr>
          <w:noProof w:val="0"/>
        </w:rPr>
        <w:tab/>
        <w:t xml:space="preserve">Kaip vartoti </w:t>
      </w:r>
      <w:proofErr w:type="spellStart"/>
      <w:r w:rsidRPr="00124A5D">
        <w:rPr>
          <w:noProof w:val="0"/>
        </w:rPr>
        <w:t>Neurorubine</w:t>
      </w:r>
      <w:proofErr w:type="spellEnd"/>
    </w:p>
    <w:p w:rsidR="0097338B" w:rsidRPr="00124A5D" w:rsidRDefault="0097338B" w:rsidP="0097338B">
      <w:pPr>
        <w:pStyle w:val="BTEMEASMCA"/>
        <w:tabs>
          <w:tab w:val="left" w:pos="567"/>
        </w:tabs>
        <w:rPr>
          <w:noProof w:val="0"/>
        </w:rPr>
      </w:pPr>
      <w:r w:rsidRPr="00124A5D">
        <w:rPr>
          <w:noProof w:val="0"/>
        </w:rPr>
        <w:t>4.</w:t>
      </w:r>
      <w:r w:rsidRPr="00124A5D">
        <w:rPr>
          <w:noProof w:val="0"/>
        </w:rPr>
        <w:tab/>
        <w:t>Galimas šalutinis poveikis</w:t>
      </w:r>
    </w:p>
    <w:p w:rsidR="0097338B" w:rsidRPr="00124A5D" w:rsidRDefault="0097338B" w:rsidP="0097338B">
      <w:pPr>
        <w:pStyle w:val="BTEMEASMCA"/>
        <w:tabs>
          <w:tab w:val="left" w:pos="567"/>
        </w:tabs>
        <w:rPr>
          <w:noProof w:val="0"/>
        </w:rPr>
      </w:pPr>
      <w:r w:rsidRPr="00124A5D">
        <w:rPr>
          <w:noProof w:val="0"/>
        </w:rPr>
        <w:t>5.</w:t>
      </w:r>
      <w:r w:rsidRPr="00124A5D">
        <w:rPr>
          <w:noProof w:val="0"/>
        </w:rPr>
        <w:tab/>
        <w:t xml:space="preserve">Kaip laikyti </w:t>
      </w:r>
      <w:proofErr w:type="spellStart"/>
      <w:r w:rsidRPr="00124A5D">
        <w:rPr>
          <w:noProof w:val="0"/>
        </w:rPr>
        <w:t>Neurorubine</w:t>
      </w:r>
      <w:proofErr w:type="spellEnd"/>
    </w:p>
    <w:p w:rsidR="0097338B" w:rsidRPr="00124A5D" w:rsidRDefault="0097338B" w:rsidP="0097338B">
      <w:pPr>
        <w:pStyle w:val="BTEMEASMCA"/>
        <w:tabs>
          <w:tab w:val="left" w:pos="567"/>
        </w:tabs>
        <w:rPr>
          <w:noProof w:val="0"/>
        </w:rPr>
      </w:pPr>
      <w:r w:rsidRPr="00124A5D">
        <w:rPr>
          <w:noProof w:val="0"/>
        </w:rPr>
        <w:t>6.</w:t>
      </w:r>
      <w:r w:rsidRPr="00124A5D">
        <w:rPr>
          <w:noProof w:val="0"/>
        </w:rPr>
        <w:tab/>
      </w:r>
      <w:r>
        <w:rPr>
          <w:noProof w:val="0"/>
        </w:rPr>
        <w:t>Pakuotės turinys ir k</w:t>
      </w:r>
      <w:r w:rsidRPr="00124A5D">
        <w:rPr>
          <w:noProof w:val="0"/>
        </w:rPr>
        <w:t>ita informacija</w:t>
      </w:r>
    </w:p>
    <w:p w:rsidR="0097338B" w:rsidRPr="00124A5D" w:rsidRDefault="0097338B" w:rsidP="0097338B">
      <w:pPr>
        <w:pStyle w:val="BTEMEASMCA"/>
        <w:rPr>
          <w:noProof w:val="0"/>
        </w:rPr>
      </w:pPr>
    </w:p>
    <w:p w:rsidR="0097338B" w:rsidRPr="00124A5D" w:rsidRDefault="0097338B" w:rsidP="0097338B">
      <w:pPr>
        <w:pStyle w:val="BTEMEASMCA"/>
        <w:rPr>
          <w:noProof w:val="0"/>
        </w:rPr>
      </w:pPr>
    </w:p>
    <w:p w:rsidR="0097338B" w:rsidRPr="00124A5D" w:rsidRDefault="0097338B" w:rsidP="0097338B">
      <w:pPr>
        <w:pStyle w:val="PI-1EMEASMCA"/>
      </w:pPr>
      <w:bookmarkStart w:id="0" w:name="_Toc129243139"/>
      <w:bookmarkStart w:id="1" w:name="_Toc129243264"/>
      <w:r w:rsidRPr="00124A5D">
        <w:t>1.</w:t>
      </w:r>
      <w:r w:rsidRPr="00124A5D">
        <w:tab/>
      </w:r>
      <w:bookmarkEnd w:id="0"/>
      <w:bookmarkEnd w:id="1"/>
      <w:r>
        <w:t xml:space="preserve">Kas yra </w:t>
      </w:r>
      <w:proofErr w:type="spellStart"/>
      <w:r>
        <w:t>Neurorubine</w:t>
      </w:r>
      <w:proofErr w:type="spellEnd"/>
      <w:r>
        <w:t xml:space="preserve"> ir kam jis vartojamas</w:t>
      </w:r>
    </w:p>
    <w:p w:rsidR="0097338B" w:rsidRPr="00124A5D" w:rsidRDefault="0097338B" w:rsidP="0097338B">
      <w:pPr>
        <w:pStyle w:val="BTEMEASMCA"/>
        <w:rPr>
          <w:noProof w:val="0"/>
        </w:rPr>
      </w:pPr>
    </w:p>
    <w:p w:rsidR="0097338B" w:rsidRPr="00124A5D" w:rsidRDefault="0097338B" w:rsidP="0097338B">
      <w:pPr>
        <w:pStyle w:val="Pagrindinistekstas2"/>
        <w:spacing w:after="0" w:line="240" w:lineRule="auto"/>
        <w:rPr>
          <w:sz w:val="22"/>
          <w:szCs w:val="22"/>
        </w:rPr>
      </w:pPr>
      <w:proofErr w:type="spellStart"/>
      <w:r w:rsidRPr="00124A5D">
        <w:rPr>
          <w:bCs/>
          <w:sz w:val="22"/>
          <w:szCs w:val="22"/>
        </w:rPr>
        <w:t>Neurorubine</w:t>
      </w:r>
      <w:proofErr w:type="spellEnd"/>
      <w:r w:rsidRPr="00124A5D">
        <w:rPr>
          <w:bCs/>
          <w:sz w:val="22"/>
          <w:szCs w:val="22"/>
        </w:rPr>
        <w:t xml:space="preserve"> </w:t>
      </w:r>
      <w:r w:rsidRPr="00124A5D">
        <w:rPr>
          <w:sz w:val="22"/>
          <w:szCs w:val="22"/>
        </w:rPr>
        <w:t>sudėtyje yra didelė dozė trijų vitaminų: B</w:t>
      </w:r>
      <w:r w:rsidRPr="00124A5D">
        <w:rPr>
          <w:sz w:val="22"/>
          <w:szCs w:val="22"/>
          <w:vertAlign w:val="subscript"/>
        </w:rPr>
        <w:t>1</w:t>
      </w:r>
      <w:r w:rsidRPr="00124A5D">
        <w:rPr>
          <w:sz w:val="22"/>
          <w:szCs w:val="22"/>
        </w:rPr>
        <w:t xml:space="preserve"> (tiamino hidrochlorido), B</w:t>
      </w:r>
      <w:r w:rsidRPr="00124A5D">
        <w:rPr>
          <w:sz w:val="22"/>
          <w:szCs w:val="22"/>
          <w:vertAlign w:val="subscript"/>
        </w:rPr>
        <w:t>6</w:t>
      </w:r>
      <w:r w:rsidRPr="00124A5D">
        <w:rPr>
          <w:sz w:val="22"/>
          <w:szCs w:val="22"/>
        </w:rPr>
        <w:t xml:space="preserve"> (</w:t>
      </w:r>
      <w:proofErr w:type="spellStart"/>
      <w:r w:rsidRPr="00124A5D">
        <w:rPr>
          <w:sz w:val="22"/>
          <w:szCs w:val="22"/>
        </w:rPr>
        <w:t>piridoksino</w:t>
      </w:r>
      <w:proofErr w:type="spellEnd"/>
      <w:r w:rsidRPr="00124A5D">
        <w:rPr>
          <w:sz w:val="22"/>
          <w:szCs w:val="22"/>
        </w:rPr>
        <w:t xml:space="preserve"> hidrochlorido) ir B</w:t>
      </w:r>
      <w:r w:rsidRPr="00124A5D">
        <w:rPr>
          <w:sz w:val="22"/>
          <w:szCs w:val="22"/>
          <w:vertAlign w:val="subscript"/>
        </w:rPr>
        <w:t>12</w:t>
      </w:r>
      <w:r w:rsidRPr="00124A5D">
        <w:rPr>
          <w:sz w:val="22"/>
          <w:szCs w:val="22"/>
        </w:rPr>
        <w:t xml:space="preserve"> (</w:t>
      </w:r>
      <w:proofErr w:type="spellStart"/>
      <w:r w:rsidRPr="00124A5D">
        <w:rPr>
          <w:sz w:val="22"/>
          <w:szCs w:val="22"/>
        </w:rPr>
        <w:t>cianokobalamino</w:t>
      </w:r>
      <w:proofErr w:type="spellEnd"/>
      <w:r w:rsidRPr="00124A5D">
        <w:rPr>
          <w:sz w:val="22"/>
          <w:szCs w:val="22"/>
        </w:rPr>
        <w:t>), labai svarbių nervų sistemos veiklai. Kiekvienas jų yra būtinas normaliai nervų ląstelių medžiagų apykaitai. Kai šių vitaminų trūksta, gali pasireikšti periferinių nervų uždegimas ir jų funkcijos sutrikimas, smegenų veiklos pablogėjimas. Vartojant šiuos B vitaminus didelėmis dozėmis pasireiškia skausmą malšinamasis efektas.</w:t>
      </w:r>
    </w:p>
    <w:p w:rsidR="0097338B" w:rsidRPr="00124A5D" w:rsidRDefault="0097338B" w:rsidP="0097338B">
      <w:pPr>
        <w:pStyle w:val="Pagrindinistekstas2"/>
        <w:spacing w:after="0" w:line="240" w:lineRule="auto"/>
        <w:rPr>
          <w:bCs/>
          <w:sz w:val="22"/>
          <w:szCs w:val="22"/>
        </w:rPr>
      </w:pPr>
    </w:p>
    <w:p w:rsidR="0097338B" w:rsidRPr="00124A5D" w:rsidRDefault="0097338B" w:rsidP="0097338B">
      <w:pPr>
        <w:pStyle w:val="Pagrindinistekstas2"/>
        <w:spacing w:after="0" w:line="240" w:lineRule="auto"/>
        <w:rPr>
          <w:sz w:val="22"/>
          <w:szCs w:val="22"/>
        </w:rPr>
      </w:pPr>
      <w:proofErr w:type="spellStart"/>
      <w:r w:rsidRPr="00124A5D">
        <w:rPr>
          <w:bCs/>
          <w:sz w:val="22"/>
          <w:szCs w:val="22"/>
        </w:rPr>
        <w:t>Neurorubine</w:t>
      </w:r>
      <w:proofErr w:type="spellEnd"/>
      <w:r w:rsidRPr="00124A5D">
        <w:rPr>
          <w:bCs/>
          <w:sz w:val="22"/>
          <w:szCs w:val="22"/>
        </w:rPr>
        <w:t xml:space="preserve"> </w:t>
      </w:r>
      <w:r w:rsidRPr="00124A5D">
        <w:rPr>
          <w:sz w:val="22"/>
          <w:szCs w:val="22"/>
        </w:rPr>
        <w:t xml:space="preserve">vartojamas, kai dėl alkoholizmo arba cukrinio diabeto pasireiškia nervų sistemos sutrikimai. Kaip pagalbinė priemonė, </w:t>
      </w:r>
      <w:proofErr w:type="spellStart"/>
      <w:r w:rsidRPr="00124A5D">
        <w:rPr>
          <w:sz w:val="22"/>
          <w:szCs w:val="22"/>
        </w:rPr>
        <w:t>Neurorubine</w:t>
      </w:r>
      <w:proofErr w:type="spellEnd"/>
      <w:r w:rsidRPr="00124A5D">
        <w:rPr>
          <w:sz w:val="22"/>
          <w:szCs w:val="22"/>
        </w:rPr>
        <w:t xml:space="preserve"> vartojamas lėtinio arba ūminio nervų uždegimo, trišakio, </w:t>
      </w:r>
      <w:proofErr w:type="spellStart"/>
      <w:r w:rsidRPr="00124A5D">
        <w:rPr>
          <w:sz w:val="22"/>
          <w:szCs w:val="22"/>
        </w:rPr>
        <w:t>sėdmeninio</w:t>
      </w:r>
      <w:proofErr w:type="spellEnd"/>
      <w:r w:rsidRPr="00124A5D">
        <w:rPr>
          <w:sz w:val="22"/>
          <w:szCs w:val="22"/>
        </w:rPr>
        <w:t xml:space="preserve"> nervų, </w:t>
      </w:r>
      <w:proofErr w:type="spellStart"/>
      <w:r w:rsidRPr="00124A5D">
        <w:rPr>
          <w:sz w:val="22"/>
          <w:szCs w:val="22"/>
        </w:rPr>
        <w:t>ischialgijos</w:t>
      </w:r>
      <w:proofErr w:type="spellEnd"/>
      <w:r w:rsidRPr="00124A5D">
        <w:rPr>
          <w:sz w:val="22"/>
          <w:szCs w:val="22"/>
        </w:rPr>
        <w:t xml:space="preserve"> gydymui.</w:t>
      </w:r>
    </w:p>
    <w:p w:rsidR="0097338B" w:rsidRPr="00124A5D" w:rsidRDefault="0097338B" w:rsidP="0097338B">
      <w:pPr>
        <w:pStyle w:val="BTEMEASMCA"/>
        <w:rPr>
          <w:noProof w:val="0"/>
        </w:rPr>
      </w:pPr>
    </w:p>
    <w:p w:rsidR="0097338B" w:rsidRPr="00124A5D" w:rsidRDefault="0097338B" w:rsidP="0097338B">
      <w:pPr>
        <w:pStyle w:val="BTEMEASMCA"/>
        <w:rPr>
          <w:noProof w:val="0"/>
        </w:rPr>
      </w:pPr>
    </w:p>
    <w:p w:rsidR="0097338B" w:rsidRPr="00124A5D" w:rsidRDefault="0097338B" w:rsidP="0097338B">
      <w:pPr>
        <w:pStyle w:val="PI-1EMEASMCA"/>
      </w:pPr>
      <w:bookmarkStart w:id="2" w:name="_Toc129243140"/>
      <w:bookmarkStart w:id="3" w:name="_Toc129243265"/>
      <w:r w:rsidRPr="00124A5D">
        <w:t>2.</w:t>
      </w:r>
      <w:r w:rsidRPr="00124A5D">
        <w:tab/>
      </w:r>
      <w:bookmarkEnd w:id="2"/>
      <w:bookmarkEnd w:id="3"/>
      <w:r>
        <w:t xml:space="preserve">Kas žinotina prieš vartojant </w:t>
      </w:r>
      <w:proofErr w:type="spellStart"/>
      <w:r>
        <w:t>Neurorubine</w:t>
      </w:r>
      <w:proofErr w:type="spellEnd"/>
    </w:p>
    <w:p w:rsidR="0097338B" w:rsidRPr="00124A5D" w:rsidRDefault="0097338B" w:rsidP="0097338B">
      <w:pPr>
        <w:pStyle w:val="BTEMEASMCA"/>
        <w:rPr>
          <w:noProof w:val="0"/>
        </w:rPr>
      </w:pPr>
    </w:p>
    <w:p w:rsidR="0097338B" w:rsidRPr="00124A5D" w:rsidRDefault="0097338B" w:rsidP="0097338B">
      <w:pPr>
        <w:pStyle w:val="PI-3EMEASMCA"/>
      </w:pPr>
      <w:proofErr w:type="spellStart"/>
      <w:r w:rsidRPr="00124A5D">
        <w:t>Neurorubine</w:t>
      </w:r>
      <w:proofErr w:type="spellEnd"/>
      <w:r w:rsidRPr="00124A5D">
        <w:t xml:space="preserve"> vartoti negalima:</w:t>
      </w:r>
    </w:p>
    <w:p w:rsidR="0097338B" w:rsidRPr="00124A5D" w:rsidRDefault="0097338B" w:rsidP="0097338B">
      <w:pPr>
        <w:pStyle w:val="BT-EMEASMCA"/>
      </w:pPr>
      <w:r w:rsidRPr="00124A5D">
        <w:t xml:space="preserve">jeigu yra alergija </w:t>
      </w:r>
      <w:r>
        <w:t>veikliosioms medžiagoms</w:t>
      </w:r>
      <w:r w:rsidRPr="00124A5D">
        <w:t xml:space="preserve"> arba bet kuriai pagalbinei </w:t>
      </w:r>
      <w:r>
        <w:t>šio vaisto</w:t>
      </w:r>
      <w:r w:rsidRPr="00124A5D">
        <w:t xml:space="preserve"> medžiagai</w:t>
      </w:r>
      <w:r>
        <w:t xml:space="preserve"> (jos išvardytos 6 skyriuje)</w:t>
      </w:r>
      <w:r w:rsidRPr="00124A5D">
        <w:t>;</w:t>
      </w:r>
    </w:p>
    <w:p w:rsidR="0097338B" w:rsidRPr="00124A5D" w:rsidRDefault="0097338B" w:rsidP="0097338B">
      <w:pPr>
        <w:pStyle w:val="BT-EMEASMCA"/>
      </w:pPr>
      <w:r w:rsidRPr="00124A5D">
        <w:t>jeigu sergate žvyneline;</w:t>
      </w:r>
    </w:p>
    <w:p w:rsidR="0097338B" w:rsidRPr="00124A5D" w:rsidRDefault="0097338B" w:rsidP="0097338B">
      <w:pPr>
        <w:pStyle w:val="BT-EMEASMCA"/>
      </w:pPr>
      <w:r w:rsidRPr="00124A5D">
        <w:t>jeigu esate alergiškas.</w:t>
      </w:r>
    </w:p>
    <w:p w:rsidR="0097338B" w:rsidRPr="00124A5D" w:rsidRDefault="0097338B" w:rsidP="0097338B">
      <w:pPr>
        <w:pStyle w:val="BTEMEASMCA"/>
        <w:rPr>
          <w:noProof w:val="0"/>
        </w:rPr>
      </w:pPr>
    </w:p>
    <w:p w:rsidR="0097338B" w:rsidRPr="00124A5D" w:rsidRDefault="0097338B" w:rsidP="0097338B">
      <w:pPr>
        <w:pStyle w:val="PI-3EMEASMCA"/>
      </w:pPr>
      <w:r>
        <w:t>Įspėjimai ir atsargumo priemonės</w:t>
      </w:r>
    </w:p>
    <w:p w:rsidR="0097338B" w:rsidRDefault="0097338B" w:rsidP="0097338B">
      <w:pPr>
        <w:pStyle w:val="BT-EMEASMCA"/>
        <w:numPr>
          <w:ilvl w:val="0"/>
          <w:numId w:val="0"/>
        </w:numPr>
        <w:rPr>
          <w:noProof w:val="0"/>
        </w:rPr>
      </w:pPr>
      <w:r w:rsidRPr="00B34FA1">
        <w:t>Pasitarkit</w:t>
      </w:r>
      <w:r>
        <w:t xml:space="preserve">e su gydytoju </w:t>
      </w:r>
      <w:r w:rsidRPr="00B34FA1">
        <w:t>arba</w:t>
      </w:r>
      <w:r>
        <w:t xml:space="preserve"> </w:t>
      </w:r>
      <w:r w:rsidRPr="00B34FA1">
        <w:t xml:space="preserve">vaistininku, prieš pradėdami vartoti </w:t>
      </w:r>
      <w:r>
        <w:t>Neurorubine</w:t>
      </w:r>
      <w:r w:rsidRPr="00B34FA1">
        <w:t>.</w:t>
      </w:r>
    </w:p>
    <w:p w:rsidR="0097338B" w:rsidRPr="00124A5D" w:rsidRDefault="0097338B" w:rsidP="0097338B">
      <w:pPr>
        <w:pStyle w:val="BT-EMEASMCA"/>
        <w:numPr>
          <w:ilvl w:val="0"/>
          <w:numId w:val="0"/>
        </w:numPr>
      </w:pPr>
      <w:r w:rsidRPr="00124A5D">
        <w:t xml:space="preserve">Retais atvejais ir esant tam tikroms sąlygoms, pakartotinai </w:t>
      </w:r>
      <w:r>
        <w:t>leidžiami</w:t>
      </w:r>
      <w:r w:rsidRPr="00124A5D">
        <w:t xml:space="preserve"> į raumenis </w:t>
      </w:r>
      <w:r>
        <w:t>vaistai</w:t>
      </w:r>
      <w:r w:rsidRPr="00124A5D">
        <w:t>, kurių sudėtyje yra vitamino B</w:t>
      </w:r>
      <w:r w:rsidRPr="00124A5D">
        <w:rPr>
          <w:vertAlign w:val="subscript"/>
        </w:rPr>
        <w:t>1</w:t>
      </w:r>
      <w:r w:rsidRPr="00124A5D">
        <w:t xml:space="preserve">, alergiškiems pacientams gali sukelti anafilaktoidinę reakciją. Tuomet reikėtų skirti gliukokortikoidų ir antihistamininių </w:t>
      </w:r>
      <w:r>
        <w:t>vaistų</w:t>
      </w:r>
      <w:r w:rsidRPr="00124A5D">
        <w:t>.</w:t>
      </w:r>
    </w:p>
    <w:p w:rsidR="0097338B" w:rsidRPr="00124A5D" w:rsidRDefault="0097338B" w:rsidP="0097338B">
      <w:pPr>
        <w:pStyle w:val="BT-EMEASMCA"/>
        <w:numPr>
          <w:ilvl w:val="0"/>
          <w:numId w:val="0"/>
        </w:numPr>
      </w:pPr>
    </w:p>
    <w:p w:rsidR="0097338B" w:rsidRPr="00124A5D" w:rsidRDefault="0097338B" w:rsidP="0097338B">
      <w:pPr>
        <w:pStyle w:val="PI-3EMEASMCA"/>
      </w:pPr>
      <w:r w:rsidRPr="00124A5D">
        <w:t>Kit</w:t>
      </w:r>
      <w:r>
        <w:t>i</w:t>
      </w:r>
      <w:r w:rsidRPr="00124A5D">
        <w:t xml:space="preserve"> vaist</w:t>
      </w:r>
      <w:r>
        <w:t xml:space="preserve">ai ir </w:t>
      </w:r>
      <w:proofErr w:type="spellStart"/>
      <w:r>
        <w:t>Neurorubine</w:t>
      </w:r>
      <w:proofErr w:type="spellEnd"/>
    </w:p>
    <w:p w:rsidR="0097338B" w:rsidRPr="00124A5D" w:rsidRDefault="0097338B" w:rsidP="0097338B">
      <w:pPr>
        <w:pStyle w:val="BTEMEASMCA"/>
        <w:rPr>
          <w:noProof w:val="0"/>
        </w:rPr>
      </w:pPr>
      <w:r w:rsidRPr="00124A5D">
        <w:rPr>
          <w:noProof w:val="0"/>
        </w:rPr>
        <w:t>Jeigu vartojate arba neseniai vartojote kitų vaistų</w:t>
      </w:r>
      <w:r w:rsidRPr="000624AA">
        <w:rPr>
          <w:szCs w:val="24"/>
        </w:rPr>
        <w:t xml:space="preserve"> </w:t>
      </w:r>
      <w:r w:rsidRPr="00B34FA1">
        <w:rPr>
          <w:szCs w:val="24"/>
        </w:rPr>
        <w:t>arba dėl to nesate tikri, apie tai</w:t>
      </w:r>
      <w:r w:rsidRPr="00124A5D">
        <w:rPr>
          <w:noProof w:val="0"/>
        </w:rPr>
        <w:t xml:space="preserve"> pasakykite gydytojui arba vaistininkui.</w:t>
      </w:r>
    </w:p>
    <w:p w:rsidR="0097338B" w:rsidRPr="00124A5D" w:rsidRDefault="0097338B" w:rsidP="0097338B">
      <w:pPr>
        <w:pStyle w:val="BTEMEASMCA"/>
        <w:rPr>
          <w:noProof w:val="0"/>
        </w:rPr>
      </w:pPr>
    </w:p>
    <w:p w:rsidR="0097338B" w:rsidRPr="00124A5D" w:rsidRDefault="0097338B" w:rsidP="0097338B">
      <w:pPr>
        <w:pStyle w:val="Pagrindinistekstas2"/>
        <w:spacing w:after="0" w:line="240" w:lineRule="auto"/>
        <w:rPr>
          <w:sz w:val="22"/>
          <w:szCs w:val="22"/>
        </w:rPr>
      </w:pPr>
      <w:r w:rsidRPr="00124A5D">
        <w:rPr>
          <w:sz w:val="22"/>
          <w:szCs w:val="22"/>
        </w:rPr>
        <w:t>Vaisto sudėtyje esantis didelis vitamino B</w:t>
      </w:r>
      <w:r w:rsidRPr="00124A5D">
        <w:rPr>
          <w:sz w:val="22"/>
          <w:szCs w:val="22"/>
          <w:vertAlign w:val="subscript"/>
        </w:rPr>
        <w:t>6</w:t>
      </w:r>
      <w:r w:rsidRPr="00124A5D">
        <w:rPr>
          <w:sz w:val="22"/>
          <w:szCs w:val="22"/>
        </w:rPr>
        <w:t xml:space="preserve"> kiekis gali silpninti L-</w:t>
      </w:r>
      <w:proofErr w:type="spellStart"/>
      <w:r w:rsidRPr="00124A5D">
        <w:rPr>
          <w:sz w:val="22"/>
          <w:szCs w:val="22"/>
        </w:rPr>
        <w:t>dopos</w:t>
      </w:r>
      <w:proofErr w:type="spellEnd"/>
      <w:r w:rsidRPr="00124A5D">
        <w:rPr>
          <w:sz w:val="22"/>
          <w:szCs w:val="22"/>
        </w:rPr>
        <w:t xml:space="preserve">, vartojamos </w:t>
      </w:r>
      <w:proofErr w:type="spellStart"/>
      <w:r w:rsidRPr="00124A5D">
        <w:rPr>
          <w:sz w:val="22"/>
          <w:szCs w:val="22"/>
        </w:rPr>
        <w:t>Parkinsono</w:t>
      </w:r>
      <w:proofErr w:type="spellEnd"/>
      <w:r w:rsidRPr="00124A5D">
        <w:rPr>
          <w:sz w:val="22"/>
          <w:szCs w:val="22"/>
        </w:rPr>
        <w:t xml:space="preserve"> ligai </w:t>
      </w:r>
    </w:p>
    <w:p w:rsidR="0097338B" w:rsidRPr="00124A5D" w:rsidRDefault="0097338B" w:rsidP="0097338B">
      <w:pPr>
        <w:pStyle w:val="Pagrindinistekstas2"/>
        <w:spacing w:after="0" w:line="240" w:lineRule="auto"/>
        <w:rPr>
          <w:sz w:val="22"/>
          <w:szCs w:val="22"/>
        </w:rPr>
      </w:pPr>
      <w:r w:rsidRPr="00124A5D">
        <w:rPr>
          <w:sz w:val="22"/>
          <w:szCs w:val="22"/>
        </w:rPr>
        <w:lastRenderedPageBreak/>
        <w:t xml:space="preserve">gydyti, poveikį, taip pat gali sumažinti </w:t>
      </w:r>
      <w:proofErr w:type="spellStart"/>
      <w:r w:rsidRPr="00124A5D">
        <w:rPr>
          <w:sz w:val="22"/>
          <w:szCs w:val="22"/>
        </w:rPr>
        <w:t>altretamino</w:t>
      </w:r>
      <w:proofErr w:type="spellEnd"/>
      <w:r w:rsidRPr="00124A5D">
        <w:rPr>
          <w:sz w:val="22"/>
          <w:szCs w:val="22"/>
        </w:rPr>
        <w:t xml:space="preserve"> poveikį. Be to, gali padidėti </w:t>
      </w:r>
      <w:proofErr w:type="spellStart"/>
      <w:r w:rsidRPr="00124A5D">
        <w:rPr>
          <w:sz w:val="22"/>
          <w:szCs w:val="22"/>
        </w:rPr>
        <w:t>izoniazido</w:t>
      </w:r>
      <w:proofErr w:type="spellEnd"/>
      <w:r w:rsidRPr="00124A5D">
        <w:rPr>
          <w:sz w:val="22"/>
          <w:szCs w:val="22"/>
        </w:rPr>
        <w:t xml:space="preserve"> toksinis poveikis. </w:t>
      </w:r>
    </w:p>
    <w:p w:rsidR="0097338B" w:rsidRPr="00124A5D" w:rsidRDefault="0097338B" w:rsidP="0097338B">
      <w:pPr>
        <w:pStyle w:val="Pagrindinistekstas2"/>
        <w:spacing w:after="0" w:line="240" w:lineRule="auto"/>
        <w:rPr>
          <w:sz w:val="22"/>
          <w:szCs w:val="22"/>
        </w:rPr>
      </w:pPr>
      <w:proofErr w:type="spellStart"/>
      <w:r w:rsidRPr="00124A5D">
        <w:rPr>
          <w:sz w:val="22"/>
          <w:szCs w:val="22"/>
        </w:rPr>
        <w:t>Tiosemikarbazonas</w:t>
      </w:r>
      <w:proofErr w:type="spellEnd"/>
      <w:r w:rsidRPr="00124A5D">
        <w:rPr>
          <w:sz w:val="22"/>
          <w:szCs w:val="22"/>
        </w:rPr>
        <w:t xml:space="preserve"> ir </w:t>
      </w:r>
      <w:proofErr w:type="spellStart"/>
      <w:r w:rsidRPr="00124A5D">
        <w:rPr>
          <w:sz w:val="22"/>
          <w:szCs w:val="22"/>
        </w:rPr>
        <w:t>fluoruracilas</w:t>
      </w:r>
      <w:proofErr w:type="spellEnd"/>
      <w:r w:rsidRPr="00124A5D">
        <w:rPr>
          <w:sz w:val="22"/>
          <w:szCs w:val="22"/>
        </w:rPr>
        <w:t xml:space="preserve"> yra tiamino antagonistai, stabdantys vitamino B</w:t>
      </w:r>
      <w:r w:rsidRPr="00124A5D">
        <w:rPr>
          <w:sz w:val="22"/>
          <w:szCs w:val="22"/>
          <w:vertAlign w:val="subscript"/>
        </w:rPr>
        <w:t>1</w:t>
      </w:r>
      <w:r w:rsidRPr="00124A5D">
        <w:rPr>
          <w:sz w:val="22"/>
          <w:szCs w:val="22"/>
        </w:rPr>
        <w:t xml:space="preserve"> veikimą. </w:t>
      </w:r>
      <w:proofErr w:type="spellStart"/>
      <w:r w:rsidRPr="00124A5D">
        <w:rPr>
          <w:sz w:val="22"/>
          <w:szCs w:val="22"/>
        </w:rPr>
        <w:t>Antacidiniai</w:t>
      </w:r>
      <w:proofErr w:type="spellEnd"/>
      <w:r w:rsidRPr="00124A5D">
        <w:rPr>
          <w:sz w:val="22"/>
          <w:szCs w:val="22"/>
        </w:rPr>
        <w:t xml:space="preserve"> </w:t>
      </w:r>
      <w:r>
        <w:rPr>
          <w:sz w:val="22"/>
          <w:szCs w:val="22"/>
        </w:rPr>
        <w:t>vaistai</w:t>
      </w:r>
      <w:r w:rsidRPr="00124A5D">
        <w:rPr>
          <w:sz w:val="22"/>
          <w:szCs w:val="22"/>
        </w:rPr>
        <w:t xml:space="preserve"> slopina vitamino B</w:t>
      </w:r>
      <w:r w:rsidRPr="00124A5D">
        <w:rPr>
          <w:sz w:val="22"/>
          <w:szCs w:val="22"/>
          <w:vertAlign w:val="subscript"/>
        </w:rPr>
        <w:t>1</w:t>
      </w:r>
      <w:r w:rsidRPr="00124A5D">
        <w:rPr>
          <w:sz w:val="22"/>
          <w:szCs w:val="22"/>
        </w:rPr>
        <w:t xml:space="preserve"> </w:t>
      </w:r>
      <w:proofErr w:type="spellStart"/>
      <w:r w:rsidRPr="00124A5D">
        <w:rPr>
          <w:sz w:val="22"/>
          <w:szCs w:val="22"/>
        </w:rPr>
        <w:t>rezorbciją</w:t>
      </w:r>
      <w:proofErr w:type="spellEnd"/>
      <w:r w:rsidRPr="00124A5D">
        <w:rPr>
          <w:sz w:val="22"/>
          <w:szCs w:val="22"/>
        </w:rPr>
        <w:t>.</w:t>
      </w:r>
    </w:p>
    <w:p w:rsidR="0097338B" w:rsidRPr="00124A5D" w:rsidRDefault="0097338B" w:rsidP="0097338B">
      <w:pPr>
        <w:pStyle w:val="BTEMEASMCA"/>
        <w:rPr>
          <w:noProof w:val="0"/>
        </w:rPr>
      </w:pPr>
    </w:p>
    <w:p w:rsidR="0097338B" w:rsidRPr="00124A5D" w:rsidRDefault="0097338B" w:rsidP="0097338B">
      <w:pPr>
        <w:pStyle w:val="PI-3EMEASMCA"/>
      </w:pPr>
      <w:r w:rsidRPr="00124A5D">
        <w:t>Nėštumas ir žindymo laikotarpis</w:t>
      </w:r>
    </w:p>
    <w:p w:rsidR="0097338B" w:rsidRPr="00124A5D" w:rsidRDefault="0097338B" w:rsidP="0097338B">
      <w:pPr>
        <w:pStyle w:val="BTEMEASMCA"/>
        <w:rPr>
          <w:noProof w:val="0"/>
        </w:rPr>
      </w:pPr>
      <w:r w:rsidRPr="00B34FA1">
        <w:rPr>
          <w:szCs w:val="24"/>
        </w:rPr>
        <w:t>Jeigu esate nėščia, žindote kūdikį, manote, kad galbūt esate nėščia</w:t>
      </w:r>
      <w:r w:rsidRPr="00B505EC">
        <w:rPr>
          <w:szCs w:val="24"/>
        </w:rPr>
        <w:t>,</w:t>
      </w:r>
      <w:r w:rsidRPr="00B34FA1">
        <w:rPr>
          <w:szCs w:val="24"/>
        </w:rPr>
        <w:t xml:space="preserve"> arba planuojate pastoti, tai prieš vartodama šį vaistą</w:t>
      </w:r>
      <w:r w:rsidRPr="00B505EC">
        <w:rPr>
          <w:szCs w:val="24"/>
        </w:rPr>
        <w:t>,</w:t>
      </w:r>
      <w:r w:rsidRPr="00B34FA1">
        <w:rPr>
          <w:szCs w:val="24"/>
        </w:rPr>
        <w:t xml:space="preserve"> pasita</w:t>
      </w:r>
      <w:r>
        <w:rPr>
          <w:szCs w:val="24"/>
        </w:rPr>
        <w:t xml:space="preserve">rkite su </w:t>
      </w:r>
      <w:r w:rsidRPr="00B34FA1">
        <w:rPr>
          <w:szCs w:val="24"/>
        </w:rPr>
        <w:t>gydytoju</w:t>
      </w:r>
      <w:r>
        <w:rPr>
          <w:szCs w:val="24"/>
        </w:rPr>
        <w:t xml:space="preserve"> </w:t>
      </w:r>
      <w:r w:rsidRPr="00B34FA1">
        <w:rPr>
          <w:szCs w:val="24"/>
        </w:rPr>
        <w:t>arba</w:t>
      </w:r>
      <w:r>
        <w:rPr>
          <w:szCs w:val="24"/>
        </w:rPr>
        <w:t xml:space="preserve"> </w:t>
      </w:r>
      <w:r w:rsidRPr="00B34FA1">
        <w:rPr>
          <w:szCs w:val="24"/>
        </w:rPr>
        <w:t>vaistininku</w:t>
      </w:r>
      <w:r w:rsidRPr="00124A5D">
        <w:rPr>
          <w:noProof w:val="0"/>
        </w:rPr>
        <w:t>.</w:t>
      </w:r>
    </w:p>
    <w:p w:rsidR="0097338B" w:rsidRDefault="0097338B" w:rsidP="0097338B">
      <w:pPr>
        <w:rPr>
          <w:sz w:val="22"/>
          <w:szCs w:val="22"/>
        </w:rPr>
      </w:pPr>
    </w:p>
    <w:p w:rsidR="0097338B" w:rsidRPr="007460C0" w:rsidRDefault="0097338B" w:rsidP="0097338B">
      <w:pPr>
        <w:rPr>
          <w:b/>
          <w:sz w:val="22"/>
          <w:szCs w:val="22"/>
        </w:rPr>
      </w:pPr>
      <w:r w:rsidRPr="007460C0">
        <w:rPr>
          <w:b/>
          <w:sz w:val="22"/>
          <w:szCs w:val="22"/>
        </w:rPr>
        <w:t>Nėštumas</w:t>
      </w:r>
    </w:p>
    <w:p w:rsidR="0097338B" w:rsidRPr="00124A5D" w:rsidRDefault="0097338B" w:rsidP="0097338B">
      <w:pPr>
        <w:rPr>
          <w:sz w:val="22"/>
          <w:szCs w:val="22"/>
        </w:rPr>
      </w:pPr>
      <w:r w:rsidRPr="00124A5D">
        <w:rPr>
          <w:sz w:val="22"/>
          <w:szCs w:val="22"/>
        </w:rPr>
        <w:t xml:space="preserve">Nėščios ir žindančios moterys gali vartoti dienos poreikį atitinkančią vitaminų dozę. Kadangi, </w:t>
      </w:r>
      <w:proofErr w:type="spellStart"/>
      <w:r w:rsidRPr="00124A5D">
        <w:rPr>
          <w:bCs/>
          <w:sz w:val="22"/>
          <w:szCs w:val="22"/>
        </w:rPr>
        <w:t>Neurorubine</w:t>
      </w:r>
      <w:proofErr w:type="spellEnd"/>
      <w:r w:rsidRPr="00124A5D">
        <w:rPr>
          <w:sz w:val="22"/>
          <w:szCs w:val="22"/>
        </w:rPr>
        <w:t xml:space="preserve">, sudėtyje yra didelės vitaminų dozės, vaistą galima vartoti tik pasitarus su gydytoju. </w:t>
      </w:r>
    </w:p>
    <w:p w:rsidR="0097338B" w:rsidRDefault="0097338B" w:rsidP="0097338B">
      <w:pPr>
        <w:rPr>
          <w:sz w:val="22"/>
          <w:szCs w:val="22"/>
        </w:rPr>
      </w:pPr>
    </w:p>
    <w:p w:rsidR="0097338B" w:rsidRPr="007460C0" w:rsidRDefault="0097338B" w:rsidP="0097338B">
      <w:pPr>
        <w:rPr>
          <w:b/>
          <w:sz w:val="22"/>
          <w:szCs w:val="22"/>
        </w:rPr>
      </w:pPr>
      <w:r w:rsidRPr="007460C0">
        <w:rPr>
          <w:b/>
          <w:sz w:val="22"/>
          <w:szCs w:val="22"/>
        </w:rPr>
        <w:t>Žindymas</w:t>
      </w:r>
    </w:p>
    <w:p w:rsidR="0097338B" w:rsidRPr="00124A5D" w:rsidRDefault="0097338B" w:rsidP="0097338B">
      <w:pPr>
        <w:rPr>
          <w:sz w:val="22"/>
          <w:szCs w:val="22"/>
        </w:rPr>
      </w:pPr>
      <w:r w:rsidRPr="00124A5D">
        <w:rPr>
          <w:sz w:val="22"/>
          <w:szCs w:val="22"/>
        </w:rPr>
        <w:t>Vitaminas B</w:t>
      </w:r>
      <w:r w:rsidRPr="00124A5D">
        <w:rPr>
          <w:sz w:val="22"/>
          <w:szCs w:val="22"/>
          <w:vertAlign w:val="subscript"/>
        </w:rPr>
        <w:t>6</w:t>
      </w:r>
      <w:r w:rsidRPr="00124A5D">
        <w:rPr>
          <w:sz w:val="22"/>
          <w:szCs w:val="22"/>
        </w:rPr>
        <w:t xml:space="preserve"> patenka į motinos pieną ir prasiskverbia per placentą.</w:t>
      </w:r>
    </w:p>
    <w:p w:rsidR="0097338B" w:rsidRPr="00124A5D" w:rsidRDefault="0097338B" w:rsidP="0097338B">
      <w:pPr>
        <w:rPr>
          <w:sz w:val="22"/>
          <w:szCs w:val="22"/>
        </w:rPr>
      </w:pPr>
    </w:p>
    <w:p w:rsidR="0097338B" w:rsidRPr="00124A5D" w:rsidRDefault="0097338B" w:rsidP="0097338B">
      <w:pPr>
        <w:pStyle w:val="PI-3EMEASMCA"/>
      </w:pPr>
      <w:r w:rsidRPr="00124A5D">
        <w:t>Vairavimas ir mechanizmų valdymas</w:t>
      </w:r>
    </w:p>
    <w:p w:rsidR="0097338B" w:rsidRDefault="0097338B" w:rsidP="0097338B">
      <w:pPr>
        <w:ind w:left="567" w:hanging="567"/>
        <w:rPr>
          <w:sz w:val="22"/>
          <w:szCs w:val="22"/>
        </w:rPr>
      </w:pPr>
      <w:proofErr w:type="spellStart"/>
      <w:r w:rsidRPr="003D4AE0">
        <w:rPr>
          <w:sz w:val="22"/>
          <w:szCs w:val="22"/>
        </w:rPr>
        <w:t>Neurorubine</w:t>
      </w:r>
      <w:proofErr w:type="spellEnd"/>
      <w:r w:rsidRPr="003D4AE0">
        <w:rPr>
          <w:sz w:val="22"/>
          <w:szCs w:val="22"/>
        </w:rPr>
        <w:t xml:space="preserve"> poveikis gebėjimui vairuoti ir valdyti mechanizmus nebuvo tirtas. Tačiau mažai tikėtina,</w:t>
      </w:r>
      <w:r>
        <w:rPr>
          <w:sz w:val="22"/>
          <w:szCs w:val="22"/>
        </w:rPr>
        <w:t xml:space="preserve"> </w:t>
      </w:r>
    </w:p>
    <w:p w:rsidR="0097338B" w:rsidRPr="003D4AE0" w:rsidRDefault="0097338B" w:rsidP="0097338B">
      <w:pPr>
        <w:ind w:left="567" w:hanging="567"/>
        <w:rPr>
          <w:sz w:val="22"/>
          <w:szCs w:val="22"/>
        </w:rPr>
      </w:pPr>
      <w:r w:rsidRPr="003D4AE0">
        <w:rPr>
          <w:sz w:val="22"/>
          <w:szCs w:val="22"/>
        </w:rPr>
        <w:t>kad vaistas gali daryti neigiamą poveikį minėtai veiklai.</w:t>
      </w:r>
    </w:p>
    <w:p w:rsidR="0097338B" w:rsidRPr="003D4AE0" w:rsidRDefault="0097338B" w:rsidP="0097338B">
      <w:pPr>
        <w:pStyle w:val="BTEMEASMCA"/>
        <w:rPr>
          <w:noProof w:val="0"/>
        </w:rPr>
      </w:pPr>
    </w:p>
    <w:p w:rsidR="0097338B" w:rsidRPr="00124A5D" w:rsidRDefault="0097338B" w:rsidP="0097338B">
      <w:pPr>
        <w:pStyle w:val="PI-3EMEASMCA"/>
      </w:pPr>
      <w:proofErr w:type="spellStart"/>
      <w:r>
        <w:t>Neurorubine</w:t>
      </w:r>
      <w:proofErr w:type="spellEnd"/>
      <w:r>
        <w:t xml:space="preserve"> sudėtyje yra kalio</w:t>
      </w:r>
    </w:p>
    <w:p w:rsidR="0097338B" w:rsidRPr="00124A5D" w:rsidRDefault="0097338B" w:rsidP="0097338B">
      <w:pPr>
        <w:pStyle w:val="BTEMEASMCA"/>
        <w:rPr>
          <w:noProof w:val="0"/>
        </w:rPr>
      </w:pPr>
      <w:r w:rsidRPr="00124A5D">
        <w:rPr>
          <w:noProof w:val="0"/>
        </w:rPr>
        <w:t xml:space="preserve">Šio vaisto </w:t>
      </w:r>
      <w:r>
        <w:rPr>
          <w:noProof w:val="0"/>
        </w:rPr>
        <w:t xml:space="preserve">vienoje  ampulėje (3 ml) </w:t>
      </w:r>
      <w:r w:rsidRPr="00124A5D">
        <w:rPr>
          <w:noProof w:val="0"/>
        </w:rPr>
        <w:t>yra mažiau kaip 1 </w:t>
      </w:r>
      <w:proofErr w:type="spellStart"/>
      <w:r w:rsidRPr="00124A5D">
        <w:rPr>
          <w:noProof w:val="0"/>
        </w:rPr>
        <w:t>mmol</w:t>
      </w:r>
      <w:proofErr w:type="spellEnd"/>
      <w:r w:rsidRPr="00124A5D">
        <w:rPr>
          <w:noProof w:val="0"/>
        </w:rPr>
        <w:t xml:space="preserve"> (39 mg) </w:t>
      </w:r>
      <w:r w:rsidRPr="0015492E">
        <w:rPr>
          <w:noProof w:val="0"/>
        </w:rPr>
        <w:t>kalio,</w:t>
      </w:r>
      <w:r w:rsidRPr="00124A5D">
        <w:rPr>
          <w:noProof w:val="0"/>
        </w:rPr>
        <w:t xml:space="preserve"> t. y. jis beveik neturi reikšmės.</w:t>
      </w:r>
    </w:p>
    <w:p w:rsidR="0097338B" w:rsidRDefault="0097338B" w:rsidP="0097338B">
      <w:pPr>
        <w:pStyle w:val="BTEMEASMCA"/>
        <w:rPr>
          <w:noProof w:val="0"/>
        </w:rPr>
      </w:pPr>
    </w:p>
    <w:p w:rsidR="0097338B" w:rsidRPr="00124A5D" w:rsidRDefault="0097338B" w:rsidP="0097338B">
      <w:pPr>
        <w:pStyle w:val="PI-3EMEASMCA"/>
      </w:pPr>
      <w:proofErr w:type="spellStart"/>
      <w:r>
        <w:t>Neurorubine</w:t>
      </w:r>
      <w:proofErr w:type="spellEnd"/>
      <w:r>
        <w:t xml:space="preserve"> sudėtyje yra natrio</w:t>
      </w:r>
    </w:p>
    <w:p w:rsidR="0097338B" w:rsidRDefault="0097338B" w:rsidP="0097338B">
      <w:pPr>
        <w:pStyle w:val="BTEMEASMCA"/>
        <w:rPr>
          <w:noProof w:val="0"/>
        </w:rPr>
      </w:pPr>
      <w:r w:rsidRPr="00124A5D">
        <w:rPr>
          <w:noProof w:val="0"/>
        </w:rPr>
        <w:t xml:space="preserve">Šio vaisto </w:t>
      </w:r>
      <w:r>
        <w:rPr>
          <w:noProof w:val="0"/>
        </w:rPr>
        <w:t xml:space="preserve">vienoje  ampulėje (3 ml) </w:t>
      </w:r>
      <w:r w:rsidRPr="00124A5D">
        <w:rPr>
          <w:noProof w:val="0"/>
        </w:rPr>
        <w:t>yra mažiau kaip 1 </w:t>
      </w:r>
      <w:proofErr w:type="spellStart"/>
      <w:r w:rsidRPr="00124A5D">
        <w:rPr>
          <w:noProof w:val="0"/>
        </w:rPr>
        <w:t>mmol</w:t>
      </w:r>
      <w:proofErr w:type="spellEnd"/>
      <w:r w:rsidRPr="00124A5D">
        <w:rPr>
          <w:noProof w:val="0"/>
        </w:rPr>
        <w:t xml:space="preserve"> (</w:t>
      </w:r>
      <w:r>
        <w:rPr>
          <w:noProof w:val="0"/>
          <w:lang w:val="en-US"/>
        </w:rPr>
        <w:t>23</w:t>
      </w:r>
      <w:r w:rsidRPr="00124A5D">
        <w:rPr>
          <w:noProof w:val="0"/>
        </w:rPr>
        <w:t xml:space="preserve"> mg) </w:t>
      </w:r>
      <w:r>
        <w:rPr>
          <w:noProof w:val="0"/>
        </w:rPr>
        <w:t>natrio</w:t>
      </w:r>
      <w:r w:rsidRPr="00124A5D">
        <w:rPr>
          <w:noProof w:val="0"/>
        </w:rPr>
        <w:t>, t. y. jis beveik neturi reikšmės.</w:t>
      </w:r>
    </w:p>
    <w:p w:rsidR="0097338B" w:rsidRDefault="0097338B" w:rsidP="0097338B">
      <w:pPr>
        <w:pStyle w:val="BTEMEASMCA"/>
        <w:rPr>
          <w:noProof w:val="0"/>
        </w:rPr>
      </w:pPr>
    </w:p>
    <w:p w:rsidR="0097338B" w:rsidRPr="007831DF" w:rsidRDefault="0097338B" w:rsidP="0097338B">
      <w:pPr>
        <w:pStyle w:val="BTEMEASMCA"/>
        <w:rPr>
          <w:b/>
          <w:bCs/>
          <w:noProof w:val="0"/>
        </w:rPr>
      </w:pPr>
      <w:r w:rsidRPr="007831DF">
        <w:rPr>
          <w:b/>
          <w:bCs/>
        </w:rPr>
        <w:t xml:space="preserve">Neurorubine sudėtyje yra </w:t>
      </w:r>
      <w:r>
        <w:rPr>
          <w:b/>
          <w:bCs/>
        </w:rPr>
        <w:t>benzilo alkoholio</w:t>
      </w:r>
    </w:p>
    <w:p w:rsidR="0097338B" w:rsidRDefault="0097338B" w:rsidP="0097338B">
      <w:pPr>
        <w:pStyle w:val="BTEMEASMCA"/>
        <w:rPr>
          <w:noProof w:val="0"/>
        </w:rPr>
      </w:pPr>
      <w:r>
        <w:rPr>
          <w:noProof w:val="0"/>
        </w:rPr>
        <w:t xml:space="preserve">Kiekvienoje šio vaisto ampulėje (3 ml) yra </w:t>
      </w:r>
      <w:r w:rsidRPr="007831DF">
        <w:rPr>
          <w:noProof w:val="0"/>
        </w:rPr>
        <w:t xml:space="preserve">30 mg </w:t>
      </w:r>
      <w:proofErr w:type="spellStart"/>
      <w:r w:rsidRPr="007831DF">
        <w:rPr>
          <w:noProof w:val="0"/>
        </w:rPr>
        <w:t>benzilo</w:t>
      </w:r>
      <w:proofErr w:type="spellEnd"/>
      <w:r w:rsidRPr="007831DF">
        <w:rPr>
          <w:noProof w:val="0"/>
        </w:rPr>
        <w:t xml:space="preserve"> alkoholio. </w:t>
      </w:r>
    </w:p>
    <w:p w:rsidR="0097338B" w:rsidRDefault="0097338B" w:rsidP="0097338B">
      <w:pPr>
        <w:pStyle w:val="BTEMEASMCA"/>
        <w:rPr>
          <w:noProof w:val="0"/>
        </w:rPr>
      </w:pPr>
      <w:proofErr w:type="spellStart"/>
      <w:r w:rsidRPr="007831DF">
        <w:rPr>
          <w:noProof w:val="0"/>
        </w:rPr>
        <w:t>B</w:t>
      </w:r>
      <w:r>
        <w:rPr>
          <w:noProof w:val="0"/>
        </w:rPr>
        <w:t>enzilo</w:t>
      </w:r>
      <w:proofErr w:type="spellEnd"/>
      <w:r>
        <w:rPr>
          <w:noProof w:val="0"/>
        </w:rPr>
        <w:t xml:space="preserve"> alkoholis gali sukelti alerginių reakcijų.</w:t>
      </w:r>
    </w:p>
    <w:p w:rsidR="0097338B" w:rsidRDefault="0097338B" w:rsidP="0097338B">
      <w:pPr>
        <w:pStyle w:val="BTEMEASMCA"/>
        <w:rPr>
          <w:noProof w:val="0"/>
        </w:rPr>
      </w:pPr>
      <w:r>
        <w:rPr>
          <w:noProof w:val="0"/>
        </w:rPr>
        <w:t xml:space="preserve">Pasitarkite su gydytoju arba vaistininku, jeigu esate nėščia arba žindote kūdikį, arba jeigu sergate kepenų arba inkstų ligomis,  kadangi didelis </w:t>
      </w:r>
      <w:proofErr w:type="spellStart"/>
      <w:r>
        <w:rPr>
          <w:noProof w:val="0"/>
        </w:rPr>
        <w:t>benzilo</w:t>
      </w:r>
      <w:proofErr w:type="spellEnd"/>
      <w:r>
        <w:rPr>
          <w:noProof w:val="0"/>
        </w:rPr>
        <w:t xml:space="preserve"> alkoholio kiekis gali kauptis Jūsų organizme ir sukelti šalutinį poveikį (vadinamąją </w:t>
      </w:r>
      <w:proofErr w:type="spellStart"/>
      <w:r>
        <w:rPr>
          <w:noProof w:val="0"/>
        </w:rPr>
        <w:t>metabolinę</w:t>
      </w:r>
      <w:proofErr w:type="spellEnd"/>
      <w:r>
        <w:rPr>
          <w:noProof w:val="0"/>
        </w:rPr>
        <w:t xml:space="preserve"> </w:t>
      </w:r>
      <w:proofErr w:type="spellStart"/>
      <w:r>
        <w:rPr>
          <w:noProof w:val="0"/>
        </w:rPr>
        <w:t>acidozę</w:t>
      </w:r>
      <w:proofErr w:type="spellEnd"/>
      <w:r>
        <w:rPr>
          <w:noProof w:val="0"/>
        </w:rPr>
        <w:t>),</w:t>
      </w:r>
    </w:p>
    <w:p w:rsidR="0097338B" w:rsidRPr="007831DF" w:rsidRDefault="0097338B" w:rsidP="0097338B">
      <w:pPr>
        <w:pStyle w:val="BTEMEASMCA"/>
        <w:rPr>
          <w:noProof w:val="0"/>
        </w:rPr>
      </w:pPr>
    </w:p>
    <w:p w:rsidR="0097338B" w:rsidRPr="00124A5D" w:rsidRDefault="0097338B" w:rsidP="0097338B">
      <w:pPr>
        <w:pStyle w:val="BTEMEASMCA"/>
        <w:rPr>
          <w:noProof w:val="0"/>
        </w:rPr>
      </w:pPr>
    </w:p>
    <w:p w:rsidR="0097338B" w:rsidRPr="00124A5D" w:rsidRDefault="0097338B" w:rsidP="0097338B">
      <w:pPr>
        <w:pStyle w:val="PI-1EMEASMCA"/>
      </w:pPr>
      <w:bookmarkStart w:id="4" w:name="_Toc129243141"/>
      <w:bookmarkStart w:id="5" w:name="_Toc129243266"/>
      <w:r w:rsidRPr="00124A5D">
        <w:t>3.</w:t>
      </w:r>
      <w:r w:rsidRPr="00124A5D">
        <w:tab/>
      </w:r>
      <w:bookmarkEnd w:id="4"/>
      <w:bookmarkEnd w:id="5"/>
      <w:r>
        <w:t xml:space="preserve">Kaip vartoti </w:t>
      </w:r>
      <w:proofErr w:type="spellStart"/>
      <w:r>
        <w:t>Neurorubine</w:t>
      </w:r>
      <w:proofErr w:type="spellEnd"/>
    </w:p>
    <w:p w:rsidR="0097338B" w:rsidRPr="00124A5D" w:rsidRDefault="0097338B" w:rsidP="0097338B">
      <w:pPr>
        <w:pStyle w:val="BTEMEASMCA"/>
        <w:rPr>
          <w:noProof w:val="0"/>
        </w:rPr>
      </w:pPr>
    </w:p>
    <w:p w:rsidR="0097338B" w:rsidRPr="00124A5D" w:rsidRDefault="0097338B" w:rsidP="0097338B">
      <w:pPr>
        <w:pStyle w:val="BTEMEASMCA"/>
        <w:rPr>
          <w:noProof w:val="0"/>
        </w:rPr>
      </w:pPr>
      <w:r>
        <w:rPr>
          <w:noProof w:val="0"/>
        </w:rPr>
        <w:t>V</w:t>
      </w:r>
      <w:r w:rsidRPr="00124A5D">
        <w:rPr>
          <w:noProof w:val="0"/>
        </w:rPr>
        <w:t xml:space="preserve">isada vartokite </w:t>
      </w:r>
      <w:r>
        <w:rPr>
          <w:noProof w:val="0"/>
        </w:rPr>
        <w:t xml:space="preserve">šį vaistą </w:t>
      </w:r>
      <w:r w:rsidRPr="00124A5D">
        <w:rPr>
          <w:noProof w:val="0"/>
        </w:rPr>
        <w:t>tiksliai, kaip nurodė gydytojas</w:t>
      </w:r>
      <w:r>
        <w:rPr>
          <w:noProof w:val="0"/>
        </w:rPr>
        <w:t xml:space="preserve"> arba vaistininkas</w:t>
      </w:r>
      <w:r w:rsidRPr="00124A5D">
        <w:rPr>
          <w:noProof w:val="0"/>
        </w:rPr>
        <w:t>. Jeigu abejojate, kreipkitės į gydytoją arba vaistininką.</w:t>
      </w:r>
    </w:p>
    <w:p w:rsidR="0097338B" w:rsidRPr="00124A5D" w:rsidRDefault="0097338B" w:rsidP="0097338B">
      <w:pPr>
        <w:pStyle w:val="BTEMEASMCA"/>
        <w:rPr>
          <w:noProof w:val="0"/>
        </w:rPr>
      </w:pPr>
    </w:p>
    <w:p w:rsidR="0097338B" w:rsidRPr="00124A5D" w:rsidRDefault="0097338B" w:rsidP="0097338B">
      <w:pPr>
        <w:pStyle w:val="Pagrindinistekstas2"/>
        <w:spacing w:after="0" w:line="240" w:lineRule="auto"/>
        <w:rPr>
          <w:sz w:val="22"/>
          <w:szCs w:val="22"/>
        </w:rPr>
      </w:pPr>
      <w:proofErr w:type="spellStart"/>
      <w:r w:rsidRPr="00124A5D">
        <w:rPr>
          <w:sz w:val="22"/>
          <w:szCs w:val="22"/>
        </w:rPr>
        <w:t>Neurorubine</w:t>
      </w:r>
      <w:proofErr w:type="spellEnd"/>
      <w:r w:rsidRPr="00124A5D">
        <w:rPr>
          <w:sz w:val="22"/>
          <w:szCs w:val="22"/>
        </w:rPr>
        <w:t xml:space="preserve"> skirtas vartoti tik suaugusiems.</w:t>
      </w:r>
    </w:p>
    <w:p w:rsidR="0097338B" w:rsidRDefault="0097338B" w:rsidP="0097338B">
      <w:pPr>
        <w:pStyle w:val="Pagrindinistekstas2"/>
        <w:spacing w:after="0" w:line="240" w:lineRule="auto"/>
        <w:rPr>
          <w:sz w:val="22"/>
          <w:szCs w:val="22"/>
        </w:rPr>
      </w:pPr>
    </w:p>
    <w:p w:rsidR="0097338B" w:rsidRPr="00124A5D" w:rsidRDefault="0097338B" w:rsidP="0097338B">
      <w:pPr>
        <w:pStyle w:val="Pagrindinistekstas2"/>
        <w:spacing w:after="0" w:line="240" w:lineRule="auto"/>
        <w:rPr>
          <w:sz w:val="22"/>
          <w:szCs w:val="22"/>
        </w:rPr>
      </w:pPr>
      <w:r>
        <w:rPr>
          <w:sz w:val="22"/>
          <w:szCs w:val="22"/>
        </w:rPr>
        <w:t>Rekomenduojama dozė yra:</w:t>
      </w:r>
    </w:p>
    <w:p w:rsidR="0097338B" w:rsidRPr="00124A5D" w:rsidRDefault="0097338B" w:rsidP="0097338B">
      <w:pPr>
        <w:pStyle w:val="Pagrindinistekstas2"/>
        <w:spacing w:after="0" w:line="240" w:lineRule="auto"/>
        <w:rPr>
          <w:sz w:val="22"/>
          <w:szCs w:val="22"/>
        </w:rPr>
      </w:pPr>
      <w:r>
        <w:rPr>
          <w:sz w:val="22"/>
          <w:szCs w:val="22"/>
        </w:rPr>
        <w:t>s</w:t>
      </w:r>
      <w:r w:rsidRPr="00124A5D">
        <w:rPr>
          <w:sz w:val="22"/>
          <w:szCs w:val="22"/>
        </w:rPr>
        <w:t xml:space="preserve">unkiais atvejais, gydymo pradžioje, rekomenduojama </w:t>
      </w:r>
      <w:r>
        <w:rPr>
          <w:sz w:val="22"/>
          <w:szCs w:val="22"/>
        </w:rPr>
        <w:t>leisti</w:t>
      </w:r>
      <w:r w:rsidRPr="00124A5D">
        <w:rPr>
          <w:sz w:val="22"/>
          <w:szCs w:val="22"/>
        </w:rPr>
        <w:t xml:space="preserve"> 1 ampulę</w:t>
      </w:r>
      <w:r w:rsidRPr="00124A5D" w:rsidDel="009D03FD">
        <w:rPr>
          <w:sz w:val="22"/>
          <w:szCs w:val="22"/>
        </w:rPr>
        <w:t xml:space="preserve"> </w:t>
      </w:r>
      <w:r w:rsidRPr="00124A5D">
        <w:rPr>
          <w:sz w:val="22"/>
          <w:szCs w:val="22"/>
        </w:rPr>
        <w:t>(3 ml) vaisto kartą per dieną, vėliau 1-2 kartus per savaitę.</w:t>
      </w:r>
    </w:p>
    <w:p w:rsidR="0097338B" w:rsidRPr="00124A5D" w:rsidRDefault="0097338B" w:rsidP="0097338B">
      <w:pPr>
        <w:pStyle w:val="BTEMEASMCA"/>
        <w:rPr>
          <w:noProof w:val="0"/>
        </w:rPr>
      </w:pPr>
    </w:p>
    <w:p w:rsidR="0097338B" w:rsidRPr="00124A5D" w:rsidRDefault="0097338B" w:rsidP="0097338B">
      <w:pPr>
        <w:pStyle w:val="BTEMEASMCA"/>
        <w:rPr>
          <w:noProof w:val="0"/>
        </w:rPr>
      </w:pPr>
      <w:r w:rsidRPr="00124A5D">
        <w:rPr>
          <w:noProof w:val="0"/>
        </w:rPr>
        <w:t xml:space="preserve">Vidutinio sunkumo atvejais - po 1 ampulę (3 ml) kartą ar dukart per savaitę. </w:t>
      </w:r>
    </w:p>
    <w:p w:rsidR="0097338B" w:rsidRPr="00124A5D" w:rsidRDefault="0097338B" w:rsidP="0097338B">
      <w:pPr>
        <w:pStyle w:val="BTEMEASMCA"/>
        <w:rPr>
          <w:noProof w:val="0"/>
        </w:rPr>
      </w:pPr>
    </w:p>
    <w:p w:rsidR="0097338B" w:rsidRPr="00124A5D" w:rsidRDefault="0097338B" w:rsidP="0097338B">
      <w:pPr>
        <w:pStyle w:val="BTEMEASMCA"/>
        <w:rPr>
          <w:i/>
          <w:noProof w:val="0"/>
        </w:rPr>
      </w:pPr>
      <w:r w:rsidRPr="00124A5D">
        <w:rPr>
          <w:i/>
          <w:noProof w:val="0"/>
        </w:rPr>
        <w:t>Vartojimo metodas</w:t>
      </w:r>
    </w:p>
    <w:p w:rsidR="0097338B" w:rsidRPr="00124A5D" w:rsidRDefault="0097338B" w:rsidP="0097338B">
      <w:pPr>
        <w:pStyle w:val="BTEMEASMCA"/>
        <w:rPr>
          <w:noProof w:val="0"/>
        </w:rPr>
      </w:pPr>
      <w:r w:rsidRPr="00124A5D">
        <w:rPr>
          <w:noProof w:val="0"/>
        </w:rPr>
        <w:t xml:space="preserve">Švirkšti giliai į raumenis patartina viršutinėje išorinėje </w:t>
      </w:r>
      <w:proofErr w:type="spellStart"/>
      <w:r w:rsidRPr="00124A5D">
        <w:rPr>
          <w:noProof w:val="0"/>
        </w:rPr>
        <w:t>sėdmeninio</w:t>
      </w:r>
      <w:proofErr w:type="spellEnd"/>
      <w:r w:rsidRPr="00124A5D">
        <w:rPr>
          <w:noProof w:val="0"/>
        </w:rPr>
        <w:t xml:space="preserve"> raumens dalyje.</w:t>
      </w:r>
    </w:p>
    <w:p w:rsidR="0097338B" w:rsidRPr="00124A5D" w:rsidRDefault="0097338B" w:rsidP="0097338B">
      <w:pPr>
        <w:pStyle w:val="Pagrindinistekstas2"/>
        <w:tabs>
          <w:tab w:val="left" w:pos="2835"/>
          <w:tab w:val="right" w:pos="8080"/>
        </w:tabs>
        <w:spacing w:after="0" w:line="240" w:lineRule="auto"/>
        <w:rPr>
          <w:color w:val="000000"/>
          <w:sz w:val="22"/>
          <w:szCs w:val="22"/>
        </w:rPr>
      </w:pPr>
    </w:p>
    <w:p w:rsidR="0097338B" w:rsidRPr="00124A5D" w:rsidRDefault="0097338B" w:rsidP="0097338B">
      <w:pPr>
        <w:pStyle w:val="Pagrindinistekstas2"/>
        <w:tabs>
          <w:tab w:val="left" w:pos="2835"/>
          <w:tab w:val="right" w:pos="8080"/>
        </w:tabs>
        <w:spacing w:after="0" w:line="240" w:lineRule="auto"/>
        <w:rPr>
          <w:color w:val="000000"/>
          <w:sz w:val="22"/>
          <w:szCs w:val="22"/>
        </w:rPr>
      </w:pPr>
      <w:r w:rsidRPr="00124A5D">
        <w:rPr>
          <w:color w:val="000000"/>
          <w:sz w:val="22"/>
          <w:szCs w:val="22"/>
        </w:rPr>
        <w:t xml:space="preserve">Kaip atidaryti ampulę: </w:t>
      </w:r>
    </w:p>
    <w:p w:rsidR="0097338B" w:rsidRPr="00124A5D" w:rsidRDefault="0097338B" w:rsidP="0097338B">
      <w:pPr>
        <w:pStyle w:val="BT-EMEASMCA"/>
      </w:pPr>
      <w:r w:rsidRPr="00124A5D">
        <w:t>laikykite ją pažymėtu galu į viršų bei pasukite taip, kad pažymėta vieta būtų prieš jus,</w:t>
      </w:r>
    </w:p>
    <w:p w:rsidR="0097338B" w:rsidRPr="00124A5D" w:rsidRDefault="0097338B" w:rsidP="0097338B">
      <w:pPr>
        <w:pStyle w:val="BT-EMEASMCA"/>
        <w:rPr>
          <w:color w:val="000000"/>
        </w:rPr>
      </w:pPr>
      <w:r w:rsidRPr="00124A5D">
        <w:t>krestelėkite, kad skystis sutekėtų į apatinę dalį,</w:t>
      </w:r>
    </w:p>
    <w:p w:rsidR="0097338B" w:rsidRPr="00124A5D" w:rsidRDefault="0097338B" w:rsidP="0097338B">
      <w:pPr>
        <w:pStyle w:val="BT-EMEASMCA"/>
        <w:rPr>
          <w:color w:val="000000"/>
        </w:rPr>
      </w:pPr>
      <w:r w:rsidRPr="00124A5D">
        <w:t>nulaužkite ampulės viršutinę dalį pažymėtoje vietoje.</w:t>
      </w:r>
    </w:p>
    <w:p w:rsidR="0097338B" w:rsidRPr="00124A5D" w:rsidRDefault="0097338B" w:rsidP="0097338B">
      <w:pPr>
        <w:pStyle w:val="BTEMEASMCA"/>
        <w:rPr>
          <w:noProof w:val="0"/>
        </w:rPr>
      </w:pPr>
    </w:p>
    <w:p w:rsidR="0097338B" w:rsidRPr="00124A5D" w:rsidRDefault="0097338B" w:rsidP="0097338B">
      <w:pPr>
        <w:pStyle w:val="PI-3EMEASMCA"/>
      </w:pPr>
      <w:r>
        <w:t>Ką daryti p</w:t>
      </w:r>
      <w:r w:rsidRPr="00124A5D">
        <w:t xml:space="preserve">avartojus per didelę </w:t>
      </w:r>
      <w:proofErr w:type="spellStart"/>
      <w:r w:rsidRPr="00124A5D">
        <w:t>Neurorubine</w:t>
      </w:r>
      <w:proofErr w:type="spellEnd"/>
      <w:r w:rsidRPr="00124A5D">
        <w:t xml:space="preserve"> dozę</w:t>
      </w:r>
      <w:r>
        <w:t>?</w:t>
      </w:r>
    </w:p>
    <w:p w:rsidR="0097338B" w:rsidRPr="00124A5D" w:rsidRDefault="0097338B" w:rsidP="0097338B">
      <w:pPr>
        <w:pStyle w:val="BTEMEASMCA"/>
        <w:rPr>
          <w:noProof w:val="0"/>
        </w:rPr>
      </w:pPr>
      <w:r w:rsidRPr="00124A5D">
        <w:rPr>
          <w:noProof w:val="0"/>
        </w:rPr>
        <w:lastRenderedPageBreak/>
        <w:t>Perdozavus nedelsiant informuokite apie tai gydytoją.</w:t>
      </w:r>
    </w:p>
    <w:p w:rsidR="0097338B" w:rsidRPr="00124A5D" w:rsidRDefault="0097338B" w:rsidP="0097338B">
      <w:pPr>
        <w:pStyle w:val="BTEMEASMCA"/>
        <w:rPr>
          <w:noProof w:val="0"/>
        </w:rPr>
      </w:pPr>
      <w:r w:rsidRPr="00124A5D">
        <w:rPr>
          <w:noProof w:val="0"/>
        </w:rPr>
        <w:t>Retais atvejais per didelės geriamojo vitamino B</w:t>
      </w:r>
      <w:r w:rsidRPr="00124A5D">
        <w:rPr>
          <w:noProof w:val="0"/>
          <w:vertAlign w:val="subscript"/>
        </w:rPr>
        <w:t>6</w:t>
      </w:r>
      <w:r w:rsidRPr="00124A5D">
        <w:rPr>
          <w:noProof w:val="0"/>
        </w:rPr>
        <w:t xml:space="preserve"> dienos dozės (vartojant ilgiau kaip 5 mėnesius po 200 mg ar daugiau) gali sukelti periferinius sensorinius nervų sutrikimus. Tačiau, nutraukus </w:t>
      </w:r>
      <w:r>
        <w:rPr>
          <w:noProof w:val="0"/>
        </w:rPr>
        <w:t>vaisto</w:t>
      </w:r>
      <w:r w:rsidRPr="00124A5D">
        <w:rPr>
          <w:noProof w:val="0"/>
        </w:rPr>
        <w:t xml:space="preserve"> vartojimą, šis poveikis paprastai išnyksta.</w:t>
      </w:r>
    </w:p>
    <w:p w:rsidR="0097338B" w:rsidRPr="00124A5D" w:rsidRDefault="0097338B" w:rsidP="0097338B">
      <w:pPr>
        <w:pStyle w:val="BTEMEASMCA"/>
        <w:rPr>
          <w:noProof w:val="0"/>
        </w:rPr>
      </w:pPr>
    </w:p>
    <w:p w:rsidR="0097338B" w:rsidRPr="00124A5D" w:rsidRDefault="0097338B" w:rsidP="0097338B">
      <w:pPr>
        <w:pStyle w:val="PI-3EMEASMCA"/>
      </w:pPr>
      <w:r w:rsidRPr="00124A5D">
        <w:t xml:space="preserve">Pamiršus pavartoti </w:t>
      </w:r>
      <w:proofErr w:type="spellStart"/>
      <w:r w:rsidRPr="00124A5D">
        <w:t>Neurorubine</w:t>
      </w:r>
      <w:proofErr w:type="spellEnd"/>
    </w:p>
    <w:p w:rsidR="0097338B" w:rsidRPr="00124A5D" w:rsidRDefault="0097338B" w:rsidP="0097338B">
      <w:pPr>
        <w:pStyle w:val="BTEMEASMCA"/>
        <w:rPr>
          <w:noProof w:val="0"/>
        </w:rPr>
      </w:pPr>
      <w:r w:rsidRPr="00124A5D">
        <w:rPr>
          <w:noProof w:val="0"/>
        </w:rPr>
        <w:t>Negalima vartoti dvigubos dozės norint kompensuoti praleistą dozę.</w:t>
      </w:r>
    </w:p>
    <w:p w:rsidR="0097338B" w:rsidRPr="00124A5D" w:rsidRDefault="0097338B" w:rsidP="0097338B">
      <w:pPr>
        <w:pStyle w:val="BTEMEASMCA"/>
        <w:rPr>
          <w:noProof w:val="0"/>
        </w:rPr>
      </w:pPr>
    </w:p>
    <w:p w:rsidR="0097338B" w:rsidRPr="00124A5D" w:rsidRDefault="0097338B" w:rsidP="0097338B">
      <w:pPr>
        <w:pStyle w:val="BTEMEASMCA"/>
        <w:rPr>
          <w:noProof w:val="0"/>
        </w:rPr>
      </w:pPr>
    </w:p>
    <w:p w:rsidR="0097338B" w:rsidRPr="00124A5D" w:rsidRDefault="0097338B" w:rsidP="0097338B">
      <w:pPr>
        <w:pStyle w:val="PI-1EMEASMCA"/>
      </w:pPr>
      <w:bookmarkStart w:id="6" w:name="_Toc129243142"/>
      <w:bookmarkStart w:id="7" w:name="_Toc129243267"/>
      <w:r w:rsidRPr="00124A5D">
        <w:t>4.</w:t>
      </w:r>
      <w:r w:rsidRPr="00124A5D">
        <w:tab/>
      </w:r>
      <w:bookmarkEnd w:id="6"/>
      <w:bookmarkEnd w:id="7"/>
      <w:r>
        <w:t>Galimas šalutinis poveikis</w:t>
      </w:r>
    </w:p>
    <w:p w:rsidR="0097338B" w:rsidRPr="00124A5D" w:rsidRDefault="0097338B" w:rsidP="0097338B">
      <w:pPr>
        <w:pStyle w:val="BTEMEASMCA"/>
        <w:rPr>
          <w:noProof w:val="0"/>
        </w:rPr>
      </w:pPr>
    </w:p>
    <w:p w:rsidR="0097338B" w:rsidRPr="00124A5D" w:rsidRDefault="0097338B" w:rsidP="0097338B">
      <w:pPr>
        <w:pStyle w:val="BTEMEASMCA"/>
        <w:rPr>
          <w:noProof w:val="0"/>
        </w:rPr>
      </w:pPr>
      <w:r w:rsidRPr="00B34FA1">
        <w:rPr>
          <w:szCs w:val="24"/>
        </w:rPr>
        <w:t>Šis vaistas</w:t>
      </w:r>
      <w:r w:rsidRPr="00124A5D">
        <w:rPr>
          <w:noProof w:val="0"/>
        </w:rPr>
        <w:t>, kaip ir visi kiti, gali sukelti šalutinį poveikį, nors jis pasireiškia ne visiems žmonėms.</w:t>
      </w:r>
    </w:p>
    <w:p w:rsidR="0097338B" w:rsidRPr="00124A5D" w:rsidRDefault="0097338B" w:rsidP="0097338B">
      <w:pPr>
        <w:pStyle w:val="BTEMEASMCA"/>
        <w:rPr>
          <w:noProof w:val="0"/>
        </w:rPr>
      </w:pPr>
    </w:p>
    <w:p w:rsidR="0097338B" w:rsidRPr="00124A5D" w:rsidRDefault="0097338B" w:rsidP="0097338B">
      <w:pPr>
        <w:pStyle w:val="Pagrindinistekstas"/>
        <w:spacing w:after="0"/>
        <w:rPr>
          <w:i/>
          <w:szCs w:val="22"/>
        </w:rPr>
      </w:pPr>
      <w:r w:rsidRPr="00124A5D">
        <w:t xml:space="preserve">Nepageidaujamų poveikių dažnis apibūdinamas </w:t>
      </w:r>
      <w:r>
        <w:t>taip</w:t>
      </w:r>
      <w:r w:rsidRPr="00124A5D">
        <w:t>: labai dažn</w:t>
      </w:r>
      <w:r>
        <w:t>as</w:t>
      </w:r>
      <w:r w:rsidRPr="00124A5D">
        <w:t xml:space="preserve"> (</w:t>
      </w:r>
      <w:r w:rsidRPr="00124A5D">
        <w:sym w:font="Symbol" w:char="F0B3"/>
      </w:r>
      <w:r w:rsidRPr="00124A5D">
        <w:t>1/10), dažn</w:t>
      </w:r>
      <w:r>
        <w:t>as</w:t>
      </w:r>
      <w:r w:rsidRPr="00124A5D">
        <w:t xml:space="preserve"> (nuo </w:t>
      </w:r>
      <w:r w:rsidRPr="00124A5D">
        <w:sym w:font="Symbol" w:char="F0B3"/>
      </w:r>
      <w:r w:rsidRPr="00124A5D">
        <w:t>1/100 iki &lt;1/10), nedažn</w:t>
      </w:r>
      <w:r>
        <w:t>as</w:t>
      </w:r>
      <w:r w:rsidRPr="00124A5D">
        <w:t xml:space="preserve"> (nuo </w:t>
      </w:r>
      <w:r w:rsidRPr="00124A5D">
        <w:sym w:font="Symbol" w:char="F0B3"/>
      </w:r>
      <w:r w:rsidRPr="00124A5D">
        <w:t>1/1000 iki &lt;1/100), ret</w:t>
      </w:r>
      <w:r>
        <w:t>as</w:t>
      </w:r>
      <w:r w:rsidRPr="00124A5D">
        <w:t xml:space="preserve"> (nuo </w:t>
      </w:r>
      <w:r w:rsidRPr="00124A5D">
        <w:sym w:font="Symbol" w:char="F0B3"/>
      </w:r>
      <w:r w:rsidRPr="00124A5D">
        <w:t>1/10000 iki &lt;1/1 000), labai ret</w:t>
      </w:r>
      <w:r>
        <w:t>as</w:t>
      </w:r>
      <w:r w:rsidRPr="00124A5D">
        <w:t xml:space="preserve"> &lt;1/10000)</w:t>
      </w:r>
      <w:r>
        <w:t xml:space="preserve"> </w:t>
      </w:r>
      <w:r w:rsidRPr="00466093">
        <w:t>ir nežinomas (negali būti apskaičiuotas pagal turimus duomenis)</w:t>
      </w:r>
      <w:r w:rsidRPr="00124A5D">
        <w:t>.</w:t>
      </w:r>
    </w:p>
    <w:p w:rsidR="0097338B" w:rsidRPr="00124A5D" w:rsidRDefault="0097338B" w:rsidP="0097338B">
      <w:pPr>
        <w:pStyle w:val="Pagrindinistekstas"/>
        <w:spacing w:after="0"/>
        <w:rPr>
          <w:i/>
          <w:szCs w:val="22"/>
        </w:rPr>
      </w:pPr>
    </w:p>
    <w:p w:rsidR="0097338B" w:rsidRPr="00124A5D" w:rsidRDefault="0097338B" w:rsidP="0097338B">
      <w:pPr>
        <w:pStyle w:val="Pagrindinistekstas"/>
        <w:spacing w:after="0"/>
        <w:rPr>
          <w:i/>
          <w:szCs w:val="22"/>
        </w:rPr>
      </w:pPr>
      <w:r w:rsidRPr="00124A5D">
        <w:rPr>
          <w:i/>
          <w:szCs w:val="22"/>
        </w:rPr>
        <w:t>Imuninės sistemos sutrikimai</w:t>
      </w:r>
    </w:p>
    <w:p w:rsidR="0097338B" w:rsidRPr="00124A5D" w:rsidRDefault="0097338B" w:rsidP="0097338B">
      <w:pPr>
        <w:pStyle w:val="Pagrindinistekstas"/>
        <w:spacing w:after="0"/>
        <w:rPr>
          <w:szCs w:val="22"/>
        </w:rPr>
      </w:pPr>
      <w:r w:rsidRPr="00124A5D">
        <w:rPr>
          <w:i/>
          <w:szCs w:val="22"/>
        </w:rPr>
        <w:t>Ret</w:t>
      </w:r>
      <w:r>
        <w:rPr>
          <w:i/>
          <w:szCs w:val="22"/>
        </w:rPr>
        <w:t>as</w:t>
      </w:r>
      <w:r w:rsidRPr="00124A5D">
        <w:rPr>
          <w:i/>
          <w:szCs w:val="22"/>
        </w:rPr>
        <w:t>:</w:t>
      </w:r>
      <w:r w:rsidRPr="00124A5D">
        <w:rPr>
          <w:szCs w:val="22"/>
        </w:rPr>
        <w:t xml:space="preserve"> alerginės reakcijos.</w:t>
      </w:r>
    </w:p>
    <w:p w:rsidR="0097338B" w:rsidRPr="00124A5D" w:rsidRDefault="0097338B" w:rsidP="0097338B">
      <w:pPr>
        <w:pStyle w:val="Pagrindinistekstas"/>
        <w:spacing w:after="0"/>
        <w:rPr>
          <w:szCs w:val="22"/>
        </w:rPr>
      </w:pPr>
      <w:r w:rsidRPr="00124A5D">
        <w:rPr>
          <w:szCs w:val="22"/>
        </w:rPr>
        <w:t xml:space="preserve">Retais atvejais, esant tam tikroms sąlygoms, pakartotinai švirkščiami į raumenis preparatai, kurių sudėtyje yra vitaminų, ypač alergiškiems pacientams gali sukelti </w:t>
      </w:r>
      <w:proofErr w:type="spellStart"/>
      <w:r w:rsidRPr="00124A5D">
        <w:rPr>
          <w:szCs w:val="22"/>
        </w:rPr>
        <w:t>anafilaktoidinę</w:t>
      </w:r>
      <w:proofErr w:type="spellEnd"/>
      <w:r w:rsidRPr="00124A5D">
        <w:rPr>
          <w:szCs w:val="22"/>
        </w:rPr>
        <w:t xml:space="preserve"> reakciją. Tuomet reikėtų skirti </w:t>
      </w:r>
      <w:proofErr w:type="spellStart"/>
      <w:r w:rsidRPr="00124A5D">
        <w:rPr>
          <w:szCs w:val="22"/>
        </w:rPr>
        <w:t>gliukokortikoidų</w:t>
      </w:r>
      <w:proofErr w:type="spellEnd"/>
      <w:r w:rsidRPr="00124A5D">
        <w:rPr>
          <w:szCs w:val="22"/>
        </w:rPr>
        <w:t xml:space="preserve"> ir </w:t>
      </w:r>
      <w:proofErr w:type="spellStart"/>
      <w:r w:rsidRPr="00124A5D">
        <w:rPr>
          <w:szCs w:val="22"/>
        </w:rPr>
        <w:t>antihistamininių</w:t>
      </w:r>
      <w:proofErr w:type="spellEnd"/>
      <w:r w:rsidRPr="00124A5D">
        <w:rPr>
          <w:szCs w:val="22"/>
        </w:rPr>
        <w:t xml:space="preserve"> preparatų.</w:t>
      </w:r>
    </w:p>
    <w:p w:rsidR="0097338B" w:rsidRPr="00124A5D" w:rsidRDefault="0097338B" w:rsidP="0097338B">
      <w:pPr>
        <w:pStyle w:val="Pagrindinistekstas"/>
        <w:spacing w:after="0"/>
        <w:rPr>
          <w:szCs w:val="22"/>
        </w:rPr>
      </w:pPr>
      <w:r w:rsidRPr="00124A5D">
        <w:rPr>
          <w:i/>
          <w:szCs w:val="22"/>
        </w:rPr>
        <w:t>Labai ret</w:t>
      </w:r>
      <w:r>
        <w:rPr>
          <w:i/>
          <w:szCs w:val="22"/>
        </w:rPr>
        <w:t>as</w:t>
      </w:r>
      <w:r w:rsidRPr="00124A5D">
        <w:rPr>
          <w:i/>
          <w:szCs w:val="22"/>
        </w:rPr>
        <w:t xml:space="preserve">: </w:t>
      </w:r>
      <w:proofErr w:type="spellStart"/>
      <w:r w:rsidRPr="00124A5D">
        <w:rPr>
          <w:szCs w:val="22"/>
        </w:rPr>
        <w:t>angioedema</w:t>
      </w:r>
      <w:proofErr w:type="spellEnd"/>
      <w:r w:rsidRPr="00124A5D">
        <w:rPr>
          <w:szCs w:val="22"/>
        </w:rPr>
        <w:t xml:space="preserve"> (odos, poodinių audinių, gleivinių bei </w:t>
      </w:r>
      <w:proofErr w:type="spellStart"/>
      <w:r w:rsidRPr="00124A5D">
        <w:rPr>
          <w:szCs w:val="22"/>
        </w:rPr>
        <w:t>pogleivinių</w:t>
      </w:r>
      <w:proofErr w:type="spellEnd"/>
      <w:r w:rsidRPr="00124A5D">
        <w:rPr>
          <w:szCs w:val="22"/>
        </w:rPr>
        <w:t xml:space="preserve"> audinių patinimas)  (ypatingai jautriems pacientams).</w:t>
      </w:r>
    </w:p>
    <w:p w:rsidR="0097338B" w:rsidRPr="00124A5D" w:rsidRDefault="0097338B" w:rsidP="0097338B">
      <w:pPr>
        <w:pStyle w:val="Pagrindinistekstas"/>
        <w:spacing w:after="0"/>
        <w:rPr>
          <w:szCs w:val="22"/>
        </w:rPr>
      </w:pPr>
    </w:p>
    <w:p w:rsidR="0097338B" w:rsidRPr="00124A5D" w:rsidRDefault="0097338B" w:rsidP="0097338B">
      <w:pPr>
        <w:pStyle w:val="Pagrindinistekstas"/>
        <w:tabs>
          <w:tab w:val="left" w:pos="2550"/>
        </w:tabs>
        <w:spacing w:after="0"/>
        <w:rPr>
          <w:i/>
          <w:szCs w:val="22"/>
        </w:rPr>
      </w:pPr>
      <w:r w:rsidRPr="00124A5D">
        <w:rPr>
          <w:i/>
          <w:szCs w:val="22"/>
        </w:rPr>
        <w:t>Endokrininiai sutrikimai</w:t>
      </w:r>
    </w:p>
    <w:p w:rsidR="0097338B" w:rsidRPr="00124A5D" w:rsidRDefault="0097338B" w:rsidP="0097338B">
      <w:pPr>
        <w:pStyle w:val="Pagrindinistekstas"/>
        <w:spacing w:after="0"/>
        <w:rPr>
          <w:szCs w:val="22"/>
        </w:rPr>
      </w:pPr>
      <w:r w:rsidRPr="00124A5D">
        <w:rPr>
          <w:szCs w:val="22"/>
        </w:rPr>
        <w:t xml:space="preserve">Dėl didelės </w:t>
      </w:r>
      <w:proofErr w:type="spellStart"/>
      <w:r w:rsidRPr="00124A5D">
        <w:rPr>
          <w:szCs w:val="22"/>
        </w:rPr>
        <w:t>piridoksino</w:t>
      </w:r>
      <w:proofErr w:type="spellEnd"/>
      <w:r w:rsidRPr="00124A5D">
        <w:rPr>
          <w:szCs w:val="22"/>
        </w:rPr>
        <w:t xml:space="preserve"> dozės, slopinamas prolaktino išskyrimas.</w:t>
      </w:r>
    </w:p>
    <w:p w:rsidR="0097338B" w:rsidRPr="00124A5D" w:rsidRDefault="0097338B" w:rsidP="0097338B">
      <w:pPr>
        <w:pStyle w:val="Pagrindinistekstas"/>
        <w:spacing w:after="0"/>
        <w:rPr>
          <w:szCs w:val="22"/>
        </w:rPr>
      </w:pPr>
    </w:p>
    <w:p w:rsidR="0097338B" w:rsidRPr="00124A5D" w:rsidRDefault="0097338B" w:rsidP="0097338B">
      <w:pPr>
        <w:rPr>
          <w:i/>
          <w:sz w:val="22"/>
          <w:szCs w:val="22"/>
        </w:rPr>
      </w:pPr>
      <w:r w:rsidRPr="00124A5D">
        <w:rPr>
          <w:i/>
          <w:sz w:val="22"/>
          <w:szCs w:val="22"/>
        </w:rPr>
        <w:t>Nervų sistemos sutrikimai</w:t>
      </w:r>
    </w:p>
    <w:p w:rsidR="0097338B" w:rsidRPr="00124A5D" w:rsidRDefault="0097338B" w:rsidP="0097338B">
      <w:pPr>
        <w:rPr>
          <w:sz w:val="22"/>
          <w:szCs w:val="22"/>
        </w:rPr>
      </w:pPr>
      <w:r w:rsidRPr="00124A5D">
        <w:rPr>
          <w:i/>
          <w:sz w:val="22"/>
          <w:szCs w:val="22"/>
        </w:rPr>
        <w:t>Labai ret</w:t>
      </w:r>
      <w:r>
        <w:rPr>
          <w:i/>
          <w:sz w:val="22"/>
          <w:szCs w:val="22"/>
        </w:rPr>
        <w:t>as</w:t>
      </w:r>
      <w:r w:rsidRPr="00124A5D">
        <w:rPr>
          <w:i/>
          <w:sz w:val="22"/>
          <w:szCs w:val="22"/>
        </w:rPr>
        <w:t>:</w:t>
      </w:r>
      <w:r w:rsidRPr="00124A5D">
        <w:rPr>
          <w:sz w:val="22"/>
          <w:szCs w:val="22"/>
        </w:rPr>
        <w:t xml:space="preserve"> nerimas (ypatingai jautriems pacientams); grįžtamieji periferiniai nervų sutrikimai, vartojant didesnes </w:t>
      </w:r>
      <w:r>
        <w:rPr>
          <w:sz w:val="22"/>
          <w:szCs w:val="22"/>
        </w:rPr>
        <w:t>vitamino B</w:t>
      </w:r>
      <w:r w:rsidRPr="00477AD3">
        <w:rPr>
          <w:sz w:val="22"/>
          <w:szCs w:val="22"/>
          <w:vertAlign w:val="subscript"/>
        </w:rPr>
        <w:t>6</w:t>
      </w:r>
      <w:r w:rsidRPr="00124A5D">
        <w:rPr>
          <w:sz w:val="22"/>
          <w:szCs w:val="22"/>
        </w:rPr>
        <w:t xml:space="preserve"> dozes ilgą laiką (daugiau kaip 200 mg per dieną).</w:t>
      </w:r>
    </w:p>
    <w:p w:rsidR="0097338B" w:rsidRPr="00124A5D" w:rsidRDefault="0097338B" w:rsidP="0097338B">
      <w:pPr>
        <w:rPr>
          <w:sz w:val="22"/>
          <w:szCs w:val="22"/>
        </w:rPr>
      </w:pPr>
    </w:p>
    <w:p w:rsidR="0097338B" w:rsidRPr="00124A5D" w:rsidRDefault="0097338B" w:rsidP="0097338B">
      <w:pPr>
        <w:rPr>
          <w:i/>
          <w:sz w:val="22"/>
          <w:szCs w:val="22"/>
        </w:rPr>
      </w:pPr>
      <w:r w:rsidRPr="00124A5D">
        <w:rPr>
          <w:i/>
          <w:sz w:val="22"/>
          <w:szCs w:val="22"/>
        </w:rPr>
        <w:t>Širdies sutrikimai</w:t>
      </w:r>
    </w:p>
    <w:p w:rsidR="0097338B" w:rsidRPr="00124A5D" w:rsidRDefault="0097338B" w:rsidP="0097338B">
      <w:pPr>
        <w:rPr>
          <w:i/>
          <w:sz w:val="22"/>
          <w:szCs w:val="22"/>
        </w:rPr>
      </w:pPr>
      <w:r w:rsidRPr="00124A5D">
        <w:rPr>
          <w:i/>
          <w:sz w:val="22"/>
          <w:szCs w:val="22"/>
        </w:rPr>
        <w:t>Labai ret</w:t>
      </w:r>
      <w:r>
        <w:rPr>
          <w:i/>
          <w:sz w:val="22"/>
          <w:szCs w:val="22"/>
        </w:rPr>
        <w:t>as</w:t>
      </w:r>
      <w:r w:rsidRPr="00124A5D">
        <w:rPr>
          <w:i/>
          <w:sz w:val="22"/>
          <w:szCs w:val="22"/>
        </w:rPr>
        <w:t>:</w:t>
      </w:r>
      <w:r w:rsidRPr="00124A5D">
        <w:rPr>
          <w:sz w:val="22"/>
          <w:szCs w:val="22"/>
        </w:rPr>
        <w:t xml:space="preserve"> </w:t>
      </w:r>
      <w:proofErr w:type="spellStart"/>
      <w:r w:rsidRPr="00124A5D">
        <w:rPr>
          <w:sz w:val="22"/>
          <w:szCs w:val="22"/>
        </w:rPr>
        <w:t>tachikardija</w:t>
      </w:r>
      <w:proofErr w:type="spellEnd"/>
      <w:r w:rsidRPr="00124A5D">
        <w:rPr>
          <w:sz w:val="22"/>
          <w:szCs w:val="22"/>
        </w:rPr>
        <w:t xml:space="preserve"> (padidėjęs širdies plakimas), kraujo apytakos </w:t>
      </w:r>
      <w:proofErr w:type="spellStart"/>
      <w:r w:rsidRPr="00124A5D">
        <w:rPr>
          <w:sz w:val="22"/>
          <w:szCs w:val="22"/>
        </w:rPr>
        <w:t>kolapso</w:t>
      </w:r>
      <w:proofErr w:type="spellEnd"/>
      <w:r w:rsidRPr="00124A5D">
        <w:rPr>
          <w:sz w:val="22"/>
          <w:szCs w:val="22"/>
        </w:rPr>
        <w:t xml:space="preserve"> atvejų (ypatingai jautriems pacientams). </w:t>
      </w:r>
    </w:p>
    <w:p w:rsidR="0097338B" w:rsidRPr="00124A5D" w:rsidRDefault="0097338B" w:rsidP="0097338B">
      <w:pPr>
        <w:rPr>
          <w:sz w:val="22"/>
          <w:szCs w:val="22"/>
        </w:rPr>
      </w:pPr>
    </w:p>
    <w:p w:rsidR="0097338B" w:rsidRPr="00124A5D" w:rsidRDefault="0097338B" w:rsidP="0097338B">
      <w:pPr>
        <w:rPr>
          <w:i/>
          <w:sz w:val="22"/>
          <w:szCs w:val="22"/>
        </w:rPr>
      </w:pPr>
      <w:r w:rsidRPr="00124A5D">
        <w:rPr>
          <w:i/>
        </w:rPr>
        <w:t>Kvėpavimo sistemos, krūtinės ląstos ir tarpuplaučio sutrikimai</w:t>
      </w:r>
    </w:p>
    <w:p w:rsidR="0097338B" w:rsidRPr="00124A5D" w:rsidRDefault="0097338B" w:rsidP="0097338B">
      <w:pPr>
        <w:rPr>
          <w:sz w:val="22"/>
          <w:szCs w:val="22"/>
        </w:rPr>
      </w:pPr>
      <w:r w:rsidRPr="00124A5D">
        <w:rPr>
          <w:i/>
          <w:sz w:val="22"/>
          <w:szCs w:val="22"/>
        </w:rPr>
        <w:t>Labai ret</w:t>
      </w:r>
      <w:r>
        <w:rPr>
          <w:i/>
          <w:sz w:val="22"/>
          <w:szCs w:val="22"/>
        </w:rPr>
        <w:t>as</w:t>
      </w:r>
      <w:r w:rsidRPr="00124A5D">
        <w:rPr>
          <w:i/>
          <w:sz w:val="22"/>
          <w:szCs w:val="22"/>
        </w:rPr>
        <w:t>:</w:t>
      </w:r>
      <w:r w:rsidRPr="00124A5D">
        <w:rPr>
          <w:sz w:val="22"/>
          <w:szCs w:val="22"/>
        </w:rPr>
        <w:t xml:space="preserve"> cianozė, plaučių edema (ypatingai jautriems pacientams).</w:t>
      </w:r>
    </w:p>
    <w:p w:rsidR="0097338B" w:rsidRPr="00124A5D" w:rsidRDefault="0097338B" w:rsidP="0097338B">
      <w:pPr>
        <w:rPr>
          <w:sz w:val="22"/>
          <w:szCs w:val="22"/>
        </w:rPr>
      </w:pPr>
    </w:p>
    <w:p w:rsidR="0097338B" w:rsidRPr="00124A5D" w:rsidRDefault="0097338B" w:rsidP="0097338B">
      <w:pPr>
        <w:rPr>
          <w:i/>
          <w:sz w:val="22"/>
          <w:szCs w:val="22"/>
        </w:rPr>
      </w:pPr>
      <w:r w:rsidRPr="00124A5D">
        <w:rPr>
          <w:i/>
          <w:sz w:val="22"/>
          <w:szCs w:val="22"/>
        </w:rPr>
        <w:t>Virškinimo trakto sutrikimai</w:t>
      </w:r>
    </w:p>
    <w:p w:rsidR="0097338B" w:rsidRPr="00124A5D" w:rsidRDefault="0097338B" w:rsidP="0097338B">
      <w:pPr>
        <w:rPr>
          <w:szCs w:val="22"/>
        </w:rPr>
      </w:pPr>
      <w:r w:rsidRPr="0024417F">
        <w:rPr>
          <w:i/>
          <w:sz w:val="22"/>
          <w:szCs w:val="22"/>
        </w:rPr>
        <w:t>Labai retas:</w:t>
      </w:r>
      <w:r w:rsidRPr="00124A5D">
        <w:rPr>
          <w:sz w:val="22"/>
          <w:szCs w:val="22"/>
        </w:rPr>
        <w:t xml:space="preserve"> pykinimas, </w:t>
      </w:r>
      <w:r w:rsidRPr="00124A5D">
        <w:rPr>
          <w:szCs w:val="22"/>
        </w:rPr>
        <w:t>kraujavimas iš virškinimo trakto (ypatingai jautriems pacientams).</w:t>
      </w:r>
    </w:p>
    <w:p w:rsidR="0097338B" w:rsidRPr="00124A5D" w:rsidRDefault="0097338B" w:rsidP="0097338B">
      <w:pPr>
        <w:rPr>
          <w:sz w:val="22"/>
          <w:szCs w:val="22"/>
        </w:rPr>
      </w:pPr>
    </w:p>
    <w:p w:rsidR="0097338B" w:rsidRPr="00124A5D" w:rsidRDefault="0097338B" w:rsidP="0097338B">
      <w:pPr>
        <w:rPr>
          <w:i/>
          <w:sz w:val="22"/>
          <w:szCs w:val="22"/>
        </w:rPr>
      </w:pPr>
      <w:r w:rsidRPr="00124A5D">
        <w:rPr>
          <w:i/>
          <w:sz w:val="22"/>
        </w:rPr>
        <w:t>Kepenų, tulžies pūslės ir latakų sutrikimai</w:t>
      </w:r>
    </w:p>
    <w:p w:rsidR="0097338B" w:rsidRPr="00124A5D" w:rsidRDefault="0097338B" w:rsidP="0097338B">
      <w:pPr>
        <w:rPr>
          <w:sz w:val="22"/>
          <w:szCs w:val="22"/>
        </w:rPr>
      </w:pPr>
      <w:r w:rsidRPr="00124A5D">
        <w:rPr>
          <w:sz w:val="22"/>
          <w:szCs w:val="22"/>
        </w:rPr>
        <w:t xml:space="preserve">Didelės </w:t>
      </w:r>
      <w:r>
        <w:rPr>
          <w:sz w:val="22"/>
          <w:szCs w:val="22"/>
        </w:rPr>
        <w:t>vitamino B</w:t>
      </w:r>
      <w:r w:rsidRPr="00EE0114">
        <w:rPr>
          <w:sz w:val="22"/>
          <w:szCs w:val="22"/>
          <w:vertAlign w:val="subscript"/>
        </w:rPr>
        <w:t>6</w:t>
      </w:r>
      <w:r>
        <w:rPr>
          <w:sz w:val="22"/>
          <w:szCs w:val="22"/>
        </w:rPr>
        <w:t xml:space="preserve"> </w:t>
      </w:r>
      <w:r w:rsidRPr="00124A5D">
        <w:rPr>
          <w:sz w:val="22"/>
          <w:szCs w:val="22"/>
        </w:rPr>
        <w:t>dozės gali padidinti kraujo serume kepenų fermento (SGOT) kiekį.</w:t>
      </w:r>
    </w:p>
    <w:p w:rsidR="0097338B" w:rsidRPr="00124A5D" w:rsidRDefault="0097338B" w:rsidP="0097338B">
      <w:pPr>
        <w:rPr>
          <w:sz w:val="22"/>
          <w:szCs w:val="22"/>
        </w:rPr>
      </w:pPr>
    </w:p>
    <w:p w:rsidR="0097338B" w:rsidRPr="00124A5D" w:rsidRDefault="0097338B" w:rsidP="0097338B">
      <w:pPr>
        <w:rPr>
          <w:i/>
          <w:sz w:val="22"/>
        </w:rPr>
      </w:pPr>
      <w:r w:rsidRPr="00124A5D">
        <w:rPr>
          <w:i/>
          <w:sz w:val="22"/>
        </w:rPr>
        <w:t>Odos ir poodinio audinio sutrikimai</w:t>
      </w:r>
    </w:p>
    <w:p w:rsidR="0097338B" w:rsidRPr="00124A5D" w:rsidRDefault="0097338B" w:rsidP="0097338B">
      <w:pPr>
        <w:rPr>
          <w:sz w:val="22"/>
          <w:szCs w:val="22"/>
        </w:rPr>
      </w:pPr>
      <w:r w:rsidRPr="00124A5D">
        <w:rPr>
          <w:i/>
          <w:szCs w:val="22"/>
        </w:rPr>
        <w:t>Labai ret</w:t>
      </w:r>
      <w:r>
        <w:rPr>
          <w:i/>
          <w:szCs w:val="22"/>
        </w:rPr>
        <w:t>as</w:t>
      </w:r>
      <w:r w:rsidRPr="00EE0114">
        <w:rPr>
          <w:i/>
          <w:sz w:val="22"/>
          <w:szCs w:val="22"/>
        </w:rPr>
        <w:t>:</w:t>
      </w:r>
      <w:r w:rsidRPr="00EE0114">
        <w:rPr>
          <w:sz w:val="22"/>
          <w:szCs w:val="22"/>
        </w:rPr>
        <w:t xml:space="preserve"> </w:t>
      </w:r>
      <w:r w:rsidRPr="00124A5D">
        <w:rPr>
          <w:szCs w:val="22"/>
        </w:rPr>
        <w:t>niežulys, dilgėlinė (ypatingai jautriems pacientams).</w:t>
      </w:r>
    </w:p>
    <w:p w:rsidR="0097338B" w:rsidRPr="00124A5D" w:rsidRDefault="0097338B" w:rsidP="0097338B">
      <w:pPr>
        <w:rPr>
          <w:sz w:val="22"/>
          <w:szCs w:val="22"/>
        </w:rPr>
      </w:pPr>
      <w:r w:rsidRPr="00124A5D">
        <w:rPr>
          <w:i/>
          <w:sz w:val="22"/>
          <w:szCs w:val="22"/>
        </w:rPr>
        <w:t>Nedažn</w:t>
      </w:r>
      <w:r>
        <w:rPr>
          <w:i/>
          <w:sz w:val="22"/>
          <w:szCs w:val="22"/>
        </w:rPr>
        <w:t>as</w:t>
      </w:r>
      <w:r w:rsidRPr="00124A5D">
        <w:rPr>
          <w:i/>
          <w:sz w:val="22"/>
          <w:szCs w:val="22"/>
        </w:rPr>
        <w:t>:</w:t>
      </w:r>
      <w:r w:rsidRPr="00124A5D">
        <w:rPr>
          <w:sz w:val="22"/>
          <w:szCs w:val="22"/>
        </w:rPr>
        <w:t xml:space="preserve"> didelės </w:t>
      </w:r>
      <w:proofErr w:type="spellStart"/>
      <w:r w:rsidRPr="00124A5D">
        <w:rPr>
          <w:sz w:val="22"/>
          <w:szCs w:val="22"/>
        </w:rPr>
        <w:t>cianokobalamino</w:t>
      </w:r>
      <w:proofErr w:type="spellEnd"/>
      <w:r w:rsidRPr="00124A5D">
        <w:rPr>
          <w:sz w:val="22"/>
          <w:szCs w:val="22"/>
        </w:rPr>
        <w:t xml:space="preserve"> dozės gali sukelti </w:t>
      </w:r>
      <w:proofErr w:type="spellStart"/>
      <w:r w:rsidRPr="00124A5D">
        <w:rPr>
          <w:sz w:val="22"/>
          <w:szCs w:val="22"/>
        </w:rPr>
        <w:t>aknę</w:t>
      </w:r>
      <w:proofErr w:type="spellEnd"/>
      <w:r w:rsidRPr="00124A5D">
        <w:rPr>
          <w:sz w:val="22"/>
          <w:szCs w:val="22"/>
        </w:rPr>
        <w:t xml:space="preserve">. Pavartojus </w:t>
      </w:r>
      <w:proofErr w:type="spellStart"/>
      <w:r w:rsidRPr="00124A5D">
        <w:rPr>
          <w:sz w:val="22"/>
          <w:szCs w:val="22"/>
        </w:rPr>
        <w:t>piridoksino</w:t>
      </w:r>
      <w:proofErr w:type="spellEnd"/>
      <w:r w:rsidRPr="00124A5D">
        <w:rPr>
          <w:sz w:val="22"/>
          <w:szCs w:val="22"/>
        </w:rPr>
        <w:t xml:space="preserve"> gali atsirasti arba paūmėti paprastųjų spuogų ar į </w:t>
      </w:r>
      <w:proofErr w:type="spellStart"/>
      <w:r w:rsidRPr="00124A5D">
        <w:rPr>
          <w:sz w:val="22"/>
          <w:szCs w:val="22"/>
        </w:rPr>
        <w:t>aknę</w:t>
      </w:r>
      <w:proofErr w:type="spellEnd"/>
      <w:r w:rsidRPr="00124A5D">
        <w:rPr>
          <w:sz w:val="22"/>
          <w:szCs w:val="22"/>
        </w:rPr>
        <w:t xml:space="preserve"> panaši </w:t>
      </w:r>
      <w:proofErr w:type="spellStart"/>
      <w:r w:rsidRPr="00124A5D">
        <w:rPr>
          <w:sz w:val="22"/>
          <w:szCs w:val="22"/>
        </w:rPr>
        <w:t>egzantema</w:t>
      </w:r>
      <w:proofErr w:type="spellEnd"/>
      <w:r w:rsidRPr="00124A5D">
        <w:rPr>
          <w:sz w:val="22"/>
          <w:szCs w:val="22"/>
        </w:rPr>
        <w:t xml:space="preserve">.  </w:t>
      </w:r>
    </w:p>
    <w:p w:rsidR="0097338B" w:rsidRPr="00124A5D" w:rsidRDefault="0097338B" w:rsidP="0097338B">
      <w:pPr>
        <w:rPr>
          <w:sz w:val="22"/>
          <w:szCs w:val="22"/>
        </w:rPr>
      </w:pPr>
    </w:p>
    <w:p w:rsidR="0097338B" w:rsidRPr="00124A5D" w:rsidRDefault="0097338B" w:rsidP="0097338B">
      <w:pPr>
        <w:rPr>
          <w:i/>
          <w:sz w:val="22"/>
          <w:szCs w:val="22"/>
        </w:rPr>
      </w:pPr>
      <w:r w:rsidRPr="00124A5D">
        <w:rPr>
          <w:i/>
          <w:sz w:val="22"/>
          <w:szCs w:val="22"/>
        </w:rPr>
        <w:t>Bendrieji sutrikimai ir vartojimo vietos pažeidimai</w:t>
      </w:r>
    </w:p>
    <w:p w:rsidR="0097338B" w:rsidRPr="00124A5D" w:rsidRDefault="0097338B" w:rsidP="0097338B">
      <w:pPr>
        <w:rPr>
          <w:sz w:val="22"/>
          <w:szCs w:val="22"/>
        </w:rPr>
      </w:pPr>
      <w:r w:rsidRPr="00EE0114">
        <w:rPr>
          <w:i/>
          <w:sz w:val="22"/>
          <w:szCs w:val="22"/>
        </w:rPr>
        <w:t>Labai ret</w:t>
      </w:r>
      <w:r>
        <w:rPr>
          <w:i/>
          <w:sz w:val="22"/>
          <w:szCs w:val="22"/>
        </w:rPr>
        <w:t>as</w:t>
      </w:r>
      <w:r w:rsidRPr="00EE0114">
        <w:rPr>
          <w:i/>
          <w:sz w:val="22"/>
          <w:szCs w:val="22"/>
        </w:rPr>
        <w:t>:</w:t>
      </w:r>
      <w:r w:rsidRPr="00124A5D">
        <w:rPr>
          <w:sz w:val="22"/>
          <w:szCs w:val="22"/>
        </w:rPr>
        <w:t xml:space="preserve"> prakaitavimas, silpnumas, „kąsnio“ ryklėje pojūtis.</w:t>
      </w:r>
    </w:p>
    <w:p w:rsidR="0097338B" w:rsidRPr="00124A5D" w:rsidRDefault="0097338B" w:rsidP="0097338B">
      <w:pPr>
        <w:ind w:left="567" w:hanging="567"/>
        <w:rPr>
          <w:sz w:val="22"/>
          <w:szCs w:val="22"/>
        </w:rPr>
      </w:pPr>
    </w:p>
    <w:p w:rsidR="0097338B" w:rsidRPr="008A1D83" w:rsidRDefault="0097338B" w:rsidP="0097338B">
      <w:pPr>
        <w:tabs>
          <w:tab w:val="left" w:pos="567"/>
        </w:tabs>
        <w:rPr>
          <w:b/>
          <w:snapToGrid w:val="0"/>
          <w:sz w:val="22"/>
        </w:rPr>
      </w:pPr>
      <w:r w:rsidRPr="008A1D83">
        <w:rPr>
          <w:b/>
          <w:noProof/>
          <w:snapToGrid w:val="0"/>
          <w:sz w:val="22"/>
        </w:rPr>
        <w:t>Pranešimas apie šalutinį poveikį</w:t>
      </w:r>
    </w:p>
    <w:p w:rsidR="0097338B" w:rsidRPr="00124A5D" w:rsidRDefault="0097338B" w:rsidP="0097338B">
      <w:pPr>
        <w:pStyle w:val="BTEMEASMCA"/>
        <w:rPr>
          <w:noProof w:val="0"/>
        </w:rPr>
      </w:pPr>
      <w:r w:rsidRPr="008A1D83">
        <w:rPr>
          <w:noProof w:val="0"/>
          <w:snapToGrid w:val="0"/>
          <w:szCs w:val="20"/>
        </w:rPr>
        <w:t>Jeigu pasireiškė šalutinis poveikis, įskaitant šiame l</w:t>
      </w:r>
      <w:r>
        <w:rPr>
          <w:noProof w:val="0"/>
          <w:snapToGrid w:val="0"/>
          <w:szCs w:val="20"/>
        </w:rPr>
        <w:t xml:space="preserve">apelyje nenurodytą, pasakykite gydytojui </w:t>
      </w:r>
      <w:r w:rsidRPr="008A1D83">
        <w:rPr>
          <w:noProof w:val="0"/>
          <w:snapToGrid w:val="0"/>
          <w:szCs w:val="20"/>
        </w:rPr>
        <w:t>a</w:t>
      </w:r>
      <w:r>
        <w:rPr>
          <w:noProof w:val="0"/>
          <w:snapToGrid w:val="0"/>
          <w:szCs w:val="20"/>
        </w:rPr>
        <w:t xml:space="preserve">rba </w:t>
      </w:r>
      <w:r w:rsidRPr="008A1D83">
        <w:rPr>
          <w:noProof w:val="0"/>
          <w:snapToGrid w:val="0"/>
          <w:szCs w:val="20"/>
        </w:rPr>
        <w:t>vaistininkui. Apie šalutinį poveikį taip pat galite pranešti Valstybinei vaistų kontrolės tarnybai prie Lietuvos Respublikos sveikatos apsaugos ministerijos nemokamu t</w:t>
      </w:r>
      <w:r w:rsidRPr="008A1D83">
        <w:rPr>
          <w:noProof w:val="0"/>
          <w:snapToGrid w:val="0"/>
          <w:szCs w:val="20"/>
          <w:lang w:eastAsia="zh-CN"/>
        </w:rPr>
        <w:t>elefonu 8 800 73568</w:t>
      </w:r>
      <w:r w:rsidRPr="008A1D83">
        <w:rPr>
          <w:noProof w:val="0"/>
          <w:snapToGrid w:val="0"/>
          <w:szCs w:val="20"/>
        </w:rPr>
        <w:t xml:space="preserve"> arba užpildyti </w:t>
      </w:r>
      <w:r w:rsidRPr="008A1D83">
        <w:rPr>
          <w:noProof w:val="0"/>
          <w:snapToGrid w:val="0"/>
          <w:szCs w:val="20"/>
        </w:rPr>
        <w:lastRenderedPageBreak/>
        <w:t xml:space="preserve">interneto svetainėje </w:t>
      </w:r>
      <w:hyperlink r:id="rId5" w:history="1">
        <w:r w:rsidRPr="008A1D83">
          <w:rPr>
            <w:rFonts w:eastAsia="SimSun"/>
            <w:noProof w:val="0"/>
            <w:snapToGrid w:val="0"/>
            <w:color w:val="0000FF"/>
            <w:szCs w:val="20"/>
            <w:u w:val="single"/>
          </w:rPr>
          <w:t>www.vvkt.lt</w:t>
        </w:r>
      </w:hyperlink>
      <w:r w:rsidRPr="008A1D83">
        <w:rPr>
          <w:noProof w:val="0"/>
          <w:snapToGrid w:val="0"/>
          <w:szCs w:val="20"/>
        </w:rPr>
        <w:t xml:space="preserve"> esančią formą ir pateikti ją Valstybinei vaistų kontrolės tarnybai prie Lietuvos Respublikos sveikatos apsaugos ministerijos vienu iš šių būdų: raštu (adresu Žirmūnų g. 139A, LT-09120 Vilnius), </w:t>
      </w:r>
      <w:r w:rsidRPr="008A1D83">
        <w:rPr>
          <w:noProof w:val="0"/>
          <w:snapToGrid w:val="0"/>
          <w:szCs w:val="20"/>
          <w:lang w:eastAsia="zh-CN"/>
        </w:rPr>
        <w:t xml:space="preserve">nemokamu </w:t>
      </w:r>
      <w:r w:rsidRPr="008A1D83">
        <w:rPr>
          <w:noProof w:val="0"/>
          <w:snapToGrid w:val="0"/>
          <w:szCs w:val="20"/>
        </w:rPr>
        <w:t>fakso numeriu 8 800 20131</w:t>
      </w:r>
      <w:r w:rsidRPr="008A1D83">
        <w:rPr>
          <w:noProof w:val="0"/>
          <w:snapToGrid w:val="0"/>
          <w:szCs w:val="20"/>
          <w:lang w:eastAsia="zh-CN"/>
        </w:rPr>
        <w:t xml:space="preserve">, </w:t>
      </w:r>
      <w:r w:rsidRPr="008A1D83">
        <w:rPr>
          <w:noProof w:val="0"/>
          <w:snapToGrid w:val="0"/>
          <w:szCs w:val="20"/>
        </w:rPr>
        <w:t xml:space="preserve">el. paštu </w:t>
      </w:r>
      <w:hyperlink r:id="rId6" w:history="1">
        <w:r w:rsidRPr="008A1D83">
          <w:rPr>
            <w:rFonts w:eastAsia="SimSun"/>
            <w:noProof w:val="0"/>
            <w:snapToGrid w:val="0"/>
            <w:color w:val="0000FF"/>
            <w:szCs w:val="20"/>
            <w:u w:val="single"/>
          </w:rPr>
          <w:t>NepageidaujamaR@vvkt.lt</w:t>
        </w:r>
      </w:hyperlink>
      <w:r w:rsidRPr="008A1D83">
        <w:rPr>
          <w:noProof w:val="0"/>
          <w:snapToGrid w:val="0"/>
          <w:szCs w:val="20"/>
        </w:rPr>
        <w:t xml:space="preserve">, taip pat per Valstybinės vaistų kontrolės tarnybos prie Lietuvos Respublikos sveikatos apsaugos ministerijos interneto svetainę (adresu </w:t>
      </w:r>
      <w:hyperlink r:id="rId7" w:history="1">
        <w:r w:rsidRPr="008A1D83">
          <w:rPr>
            <w:rFonts w:eastAsia="SimSun"/>
            <w:noProof w:val="0"/>
            <w:snapToGrid w:val="0"/>
            <w:color w:val="0000FF"/>
            <w:szCs w:val="20"/>
            <w:u w:val="single"/>
          </w:rPr>
          <w:t>http://www.vvkt.lt</w:t>
        </w:r>
      </w:hyperlink>
      <w:r w:rsidRPr="008A1D83">
        <w:rPr>
          <w:noProof w:val="0"/>
          <w:snapToGrid w:val="0"/>
          <w:szCs w:val="20"/>
        </w:rPr>
        <w:t>). Pranešdami apie šalutinį poveikį galite mums padėti gauti daugiau informacijos apie šio vaisto saugumą.</w:t>
      </w:r>
    </w:p>
    <w:p w:rsidR="0097338B" w:rsidRPr="00124A5D" w:rsidRDefault="0097338B" w:rsidP="0097338B">
      <w:pPr>
        <w:pStyle w:val="BTEMEASMCA"/>
        <w:rPr>
          <w:noProof w:val="0"/>
        </w:rPr>
      </w:pPr>
    </w:p>
    <w:p w:rsidR="0097338B" w:rsidRPr="00124A5D" w:rsidRDefault="0097338B" w:rsidP="0097338B">
      <w:pPr>
        <w:pStyle w:val="PI-1EMEASMCA"/>
      </w:pPr>
      <w:bookmarkStart w:id="8" w:name="_Toc129243143"/>
      <w:bookmarkStart w:id="9" w:name="_Toc129243268"/>
      <w:r w:rsidRPr="00124A5D">
        <w:t>5.</w:t>
      </w:r>
      <w:r w:rsidRPr="00124A5D">
        <w:tab/>
      </w:r>
      <w:bookmarkEnd w:id="8"/>
      <w:bookmarkEnd w:id="9"/>
      <w:r>
        <w:t xml:space="preserve">Kaip laikyti </w:t>
      </w:r>
      <w:proofErr w:type="spellStart"/>
      <w:r>
        <w:t>Neurorubine</w:t>
      </w:r>
      <w:proofErr w:type="spellEnd"/>
    </w:p>
    <w:p w:rsidR="0097338B" w:rsidRPr="00124A5D" w:rsidRDefault="0097338B" w:rsidP="0097338B">
      <w:pPr>
        <w:pStyle w:val="BTEMEASMCA"/>
        <w:rPr>
          <w:noProof w:val="0"/>
        </w:rPr>
      </w:pPr>
    </w:p>
    <w:p w:rsidR="0097338B" w:rsidRPr="00124A5D" w:rsidRDefault="0097338B" w:rsidP="0097338B">
      <w:pPr>
        <w:pStyle w:val="BTEMEASMCA"/>
        <w:rPr>
          <w:noProof w:val="0"/>
        </w:rPr>
      </w:pPr>
      <w:r w:rsidRPr="00B34FA1">
        <w:rPr>
          <w:szCs w:val="24"/>
        </w:rPr>
        <w:t>Šį vaistą laikykite</w:t>
      </w:r>
      <w:r w:rsidRPr="00124A5D">
        <w:rPr>
          <w:noProof w:val="0"/>
        </w:rPr>
        <w:t xml:space="preserve"> vaikams nepastebimoje ir nepasiekiamoje vietoje.</w:t>
      </w:r>
    </w:p>
    <w:p w:rsidR="0097338B" w:rsidRPr="00124A5D" w:rsidRDefault="0097338B" w:rsidP="0097338B">
      <w:pPr>
        <w:pStyle w:val="BTEMEASMCA"/>
        <w:rPr>
          <w:noProof w:val="0"/>
        </w:rPr>
      </w:pPr>
      <w:r w:rsidRPr="00124A5D">
        <w:rPr>
          <w:noProof w:val="0"/>
        </w:rPr>
        <w:t xml:space="preserve">Laikyti šaldytuve (2 </w:t>
      </w:r>
      <w:r w:rsidRPr="00124A5D">
        <w:rPr>
          <w:noProof w:val="0"/>
        </w:rPr>
        <w:sym w:font="Symbol" w:char="F0B0"/>
      </w:r>
      <w:r w:rsidRPr="00124A5D">
        <w:rPr>
          <w:noProof w:val="0"/>
        </w:rPr>
        <w:t xml:space="preserve">C – 8 </w:t>
      </w:r>
      <w:r w:rsidRPr="00124A5D">
        <w:rPr>
          <w:noProof w:val="0"/>
        </w:rPr>
        <w:sym w:font="Symbol" w:char="F0B0"/>
      </w:r>
      <w:r w:rsidRPr="00124A5D">
        <w:rPr>
          <w:noProof w:val="0"/>
        </w:rPr>
        <w:t>C).</w:t>
      </w:r>
    </w:p>
    <w:p w:rsidR="0097338B" w:rsidRPr="00124A5D" w:rsidRDefault="0097338B" w:rsidP="0097338B">
      <w:pPr>
        <w:pStyle w:val="BTEMEASMCA"/>
        <w:rPr>
          <w:noProof w:val="0"/>
        </w:rPr>
      </w:pPr>
    </w:p>
    <w:p w:rsidR="0097338B" w:rsidRPr="00124A5D" w:rsidRDefault="0097338B" w:rsidP="0097338B">
      <w:pPr>
        <w:pStyle w:val="BTEMEASMCA"/>
        <w:rPr>
          <w:noProof w:val="0"/>
        </w:rPr>
      </w:pPr>
      <w:r>
        <w:rPr>
          <w:noProof w:val="0"/>
        </w:rPr>
        <w:t>Ant dėžutės po „EXP</w:t>
      </w:r>
      <w:r w:rsidRPr="00CC53D1">
        <w:rPr>
          <w:highlight w:val="lightGray"/>
        </w:rPr>
        <w:t>“/ „Tinka iki“</w:t>
      </w:r>
      <w:r>
        <w:rPr>
          <w:noProof w:val="0"/>
        </w:rPr>
        <w:t xml:space="preserve"> ir  a</w:t>
      </w:r>
      <w:r w:rsidRPr="00124A5D">
        <w:rPr>
          <w:noProof w:val="0"/>
        </w:rPr>
        <w:t xml:space="preserve">nt ampulės etiketės po „EXP“ nurodytam tinkamumo laikui pasibaigus, </w:t>
      </w:r>
      <w:r>
        <w:rPr>
          <w:noProof w:val="0"/>
        </w:rPr>
        <w:t>šio vaisto</w:t>
      </w:r>
      <w:r w:rsidRPr="00124A5D">
        <w:rPr>
          <w:noProof w:val="0"/>
        </w:rPr>
        <w:t xml:space="preserve"> vartoti negalima. Vaistas tinka</w:t>
      </w:r>
      <w:r>
        <w:rPr>
          <w:noProof w:val="0"/>
        </w:rPr>
        <w:t>mas</w:t>
      </w:r>
      <w:r w:rsidRPr="00124A5D">
        <w:rPr>
          <w:noProof w:val="0"/>
        </w:rPr>
        <w:t xml:space="preserve"> vartoti iki paskutinės nurodyto mėnesio dienos.</w:t>
      </w:r>
    </w:p>
    <w:p w:rsidR="0097338B" w:rsidRPr="00124A5D" w:rsidRDefault="0097338B" w:rsidP="0097338B">
      <w:pPr>
        <w:pStyle w:val="BTEMEASMCA"/>
        <w:rPr>
          <w:noProof w:val="0"/>
        </w:rPr>
      </w:pPr>
    </w:p>
    <w:p w:rsidR="0097338B" w:rsidRPr="00124A5D" w:rsidRDefault="0097338B" w:rsidP="0097338B">
      <w:pPr>
        <w:pStyle w:val="BTEMEASMCA"/>
        <w:rPr>
          <w:noProof w:val="0"/>
        </w:rPr>
      </w:pPr>
      <w:r w:rsidRPr="00124A5D">
        <w:rPr>
          <w:noProof w:val="0"/>
        </w:rPr>
        <w:t xml:space="preserve">Vaistų negalima </w:t>
      </w:r>
      <w:r>
        <w:rPr>
          <w:noProof w:val="0"/>
        </w:rPr>
        <w:t>išmesti</w:t>
      </w:r>
      <w:r w:rsidRPr="00124A5D">
        <w:rPr>
          <w:noProof w:val="0"/>
        </w:rPr>
        <w:t xml:space="preserve"> į kanalizaciją arba su buitinėmis atliekomis. Kaip </w:t>
      </w:r>
      <w:r>
        <w:rPr>
          <w:noProof w:val="0"/>
        </w:rPr>
        <w:t>išmesti</w:t>
      </w:r>
      <w:r w:rsidRPr="00124A5D">
        <w:rPr>
          <w:noProof w:val="0"/>
        </w:rPr>
        <w:t xml:space="preserve"> nereikalingus vaistus, klauskite vaistininko. Šios priemonės padės apsaugoti aplinką.</w:t>
      </w:r>
    </w:p>
    <w:p w:rsidR="0097338B" w:rsidRDefault="0097338B" w:rsidP="0097338B">
      <w:pPr>
        <w:pStyle w:val="BTEMEASMCA"/>
        <w:rPr>
          <w:noProof w:val="0"/>
        </w:rPr>
      </w:pPr>
    </w:p>
    <w:p w:rsidR="0097338B" w:rsidRDefault="0097338B" w:rsidP="0097338B">
      <w:pPr>
        <w:pStyle w:val="BTEMEASMCA"/>
        <w:rPr>
          <w:noProof w:val="0"/>
        </w:rPr>
      </w:pPr>
    </w:p>
    <w:p w:rsidR="0097338B" w:rsidRPr="00124A5D" w:rsidRDefault="0097338B" w:rsidP="0097338B">
      <w:pPr>
        <w:pStyle w:val="PI-1EMEASMCA"/>
      </w:pPr>
      <w:bookmarkStart w:id="10" w:name="_Toc129243144"/>
      <w:bookmarkStart w:id="11" w:name="_Toc129243269"/>
      <w:r w:rsidRPr="00124A5D">
        <w:t>6.</w:t>
      </w:r>
      <w:r w:rsidRPr="00124A5D">
        <w:tab/>
      </w:r>
      <w:r>
        <w:t xml:space="preserve">Pakuotės turinys ir kita </w:t>
      </w:r>
      <w:proofErr w:type="spellStart"/>
      <w:r>
        <w:t>inforamacija</w:t>
      </w:r>
      <w:bookmarkEnd w:id="10"/>
      <w:bookmarkEnd w:id="11"/>
      <w:proofErr w:type="spellEnd"/>
    </w:p>
    <w:p w:rsidR="0097338B" w:rsidRPr="00124A5D" w:rsidRDefault="0097338B" w:rsidP="0097338B">
      <w:pPr>
        <w:pStyle w:val="BTEMEASMCA"/>
        <w:rPr>
          <w:noProof w:val="0"/>
        </w:rPr>
      </w:pPr>
    </w:p>
    <w:p w:rsidR="0097338B" w:rsidRPr="00124A5D" w:rsidRDefault="0097338B" w:rsidP="0097338B">
      <w:pPr>
        <w:pStyle w:val="PI-3EMEASMCA"/>
      </w:pPr>
      <w:proofErr w:type="spellStart"/>
      <w:r w:rsidRPr="00124A5D">
        <w:t>Neurorubine</w:t>
      </w:r>
      <w:proofErr w:type="spellEnd"/>
      <w:r w:rsidRPr="00124A5D">
        <w:t xml:space="preserve"> sudėtis</w:t>
      </w:r>
    </w:p>
    <w:p w:rsidR="0097338B" w:rsidRPr="00124A5D" w:rsidRDefault="0097338B" w:rsidP="0097338B">
      <w:pPr>
        <w:pStyle w:val="BT-EMEASMCA"/>
      </w:pPr>
      <w:r w:rsidRPr="00124A5D">
        <w:t>Veikliosios medžiagos yra tiamino hidrochloridas (vitaminas B</w:t>
      </w:r>
      <w:r w:rsidRPr="00124A5D">
        <w:rPr>
          <w:vertAlign w:val="subscript"/>
        </w:rPr>
        <w:t>1</w:t>
      </w:r>
      <w:r w:rsidRPr="00124A5D">
        <w:t>, Thiamini hydrochloridum), piridoksino hidrochloridas (vitaminas B</w:t>
      </w:r>
      <w:r w:rsidRPr="00124A5D">
        <w:rPr>
          <w:vertAlign w:val="subscript"/>
        </w:rPr>
        <w:t>6</w:t>
      </w:r>
      <w:r w:rsidRPr="00124A5D">
        <w:t>, Pyridoxini hydrochloridum), cianokobalaminas (vitaminas B</w:t>
      </w:r>
      <w:r w:rsidRPr="00124A5D">
        <w:rPr>
          <w:vertAlign w:val="subscript"/>
        </w:rPr>
        <w:t>12</w:t>
      </w:r>
      <w:r w:rsidRPr="00124A5D">
        <w:t>, Cyanocobalaminum). Vienoje ampulėje (3 ml tirpalo) yra 100 mg tiamino hidrochlorido, 100 mg piridoksino hidrochlorido, 1 mg cianokobalamino.</w:t>
      </w:r>
    </w:p>
    <w:p w:rsidR="0097338B" w:rsidRPr="00124A5D" w:rsidRDefault="0097338B" w:rsidP="0097338B">
      <w:pPr>
        <w:pStyle w:val="BT-EMEASMCA"/>
      </w:pPr>
      <w:r w:rsidRPr="00124A5D">
        <w:t>Pagalbinės medžiagos yra kalio cianidas, benzilo alkoholis, injekcinis vanduo, natrio hidroksidas (pH sureguliavimui).</w:t>
      </w:r>
    </w:p>
    <w:p w:rsidR="0097338B" w:rsidRPr="00124A5D" w:rsidRDefault="0097338B" w:rsidP="0097338B">
      <w:pPr>
        <w:pStyle w:val="BTEMEASMCA"/>
        <w:rPr>
          <w:noProof w:val="0"/>
        </w:rPr>
      </w:pPr>
    </w:p>
    <w:p w:rsidR="0097338B" w:rsidRPr="00124A5D" w:rsidRDefault="0097338B" w:rsidP="0097338B">
      <w:pPr>
        <w:pStyle w:val="PI-3EMEASMCA"/>
      </w:pPr>
      <w:proofErr w:type="spellStart"/>
      <w:r w:rsidRPr="00124A5D">
        <w:t>Neurorubine</w:t>
      </w:r>
      <w:proofErr w:type="spellEnd"/>
      <w:r w:rsidRPr="00124A5D">
        <w:t xml:space="preserve"> išvaizda ir kiekis pakuotėje</w:t>
      </w:r>
    </w:p>
    <w:p w:rsidR="0097338B" w:rsidRPr="00124A5D" w:rsidRDefault="0097338B" w:rsidP="0097338B">
      <w:pPr>
        <w:ind w:left="567" w:hanging="567"/>
        <w:outlineLvl w:val="0"/>
        <w:rPr>
          <w:color w:val="000000"/>
          <w:sz w:val="22"/>
          <w:szCs w:val="22"/>
        </w:rPr>
      </w:pPr>
      <w:proofErr w:type="spellStart"/>
      <w:r w:rsidRPr="00124A5D">
        <w:rPr>
          <w:sz w:val="22"/>
          <w:szCs w:val="22"/>
        </w:rPr>
        <w:t>Neurorubine</w:t>
      </w:r>
      <w:proofErr w:type="spellEnd"/>
      <w:r w:rsidRPr="00124A5D">
        <w:rPr>
          <w:sz w:val="22"/>
          <w:szCs w:val="22"/>
        </w:rPr>
        <w:t xml:space="preserve"> injekcinis tirpalas yra skaidrus, raudonas skystis rudo stiklo ampulėse. </w:t>
      </w:r>
    </w:p>
    <w:p w:rsidR="0097338B" w:rsidRDefault="0097338B" w:rsidP="0097338B">
      <w:pPr>
        <w:pStyle w:val="BTEMEASMCA"/>
        <w:rPr>
          <w:noProof w:val="0"/>
        </w:rPr>
      </w:pPr>
      <w:r w:rsidRPr="00124A5D">
        <w:rPr>
          <w:noProof w:val="0"/>
        </w:rPr>
        <w:t>Pakuotėje yra 5</w:t>
      </w:r>
      <w:r>
        <w:rPr>
          <w:noProof w:val="0"/>
        </w:rPr>
        <w:t xml:space="preserve">, 10, 25 </w:t>
      </w:r>
      <w:r w:rsidRPr="00124A5D">
        <w:rPr>
          <w:noProof w:val="0"/>
        </w:rPr>
        <w:t xml:space="preserve"> arba 100</w:t>
      </w:r>
      <w:r>
        <w:rPr>
          <w:noProof w:val="0"/>
        </w:rPr>
        <w:t xml:space="preserve"> (pakuotė skirta ligoninėms)</w:t>
      </w:r>
      <w:r w:rsidRPr="00124A5D">
        <w:rPr>
          <w:noProof w:val="0"/>
        </w:rPr>
        <w:t xml:space="preserve"> ampulių, kuriose yra 3 ml tirpalo.</w:t>
      </w:r>
    </w:p>
    <w:p w:rsidR="0097338B" w:rsidRPr="00124A5D" w:rsidRDefault="0097338B" w:rsidP="0097338B">
      <w:pPr>
        <w:pStyle w:val="BTEMEASMCA"/>
        <w:rPr>
          <w:noProof w:val="0"/>
        </w:rPr>
      </w:pPr>
      <w:r>
        <w:rPr>
          <w:noProof w:val="0"/>
        </w:rPr>
        <w:t>Gali būti tiekiamos ne visų dydžių pakuotės.</w:t>
      </w:r>
    </w:p>
    <w:p w:rsidR="0097338B" w:rsidRPr="00124A5D" w:rsidRDefault="0097338B" w:rsidP="0097338B">
      <w:pPr>
        <w:pStyle w:val="BTEMEASMCA"/>
        <w:rPr>
          <w:noProof w:val="0"/>
        </w:rPr>
      </w:pPr>
    </w:p>
    <w:p w:rsidR="0097338B" w:rsidRPr="00124A5D" w:rsidRDefault="0097338B" w:rsidP="0097338B">
      <w:pPr>
        <w:pStyle w:val="PI-3EMEASMCA"/>
      </w:pPr>
      <w:r>
        <w:t>Registruotojas ir gamintojas</w:t>
      </w:r>
    </w:p>
    <w:p w:rsidR="0097338B" w:rsidRDefault="0097338B" w:rsidP="0097338B">
      <w:pPr>
        <w:pStyle w:val="BTEMEASMCA"/>
        <w:rPr>
          <w:noProof w:val="0"/>
        </w:rPr>
      </w:pPr>
    </w:p>
    <w:p w:rsidR="0097338B" w:rsidRPr="0024417F" w:rsidRDefault="0097338B" w:rsidP="0097338B">
      <w:pPr>
        <w:pStyle w:val="BTEMEASMCA"/>
        <w:rPr>
          <w:i/>
          <w:noProof w:val="0"/>
        </w:rPr>
      </w:pPr>
      <w:r>
        <w:rPr>
          <w:i/>
        </w:rPr>
        <w:t>Registruotojas</w:t>
      </w:r>
    </w:p>
    <w:p w:rsidR="0097338B" w:rsidRPr="000A4DCC" w:rsidRDefault="0097338B" w:rsidP="0097338B">
      <w:pPr>
        <w:shd w:val="clear" w:color="auto" w:fill="FFFFFF"/>
        <w:rPr>
          <w:color w:val="222222"/>
          <w:sz w:val="22"/>
          <w:szCs w:val="22"/>
        </w:rPr>
      </w:pPr>
      <w:proofErr w:type="spellStart"/>
      <w:r w:rsidRPr="001E3957">
        <w:rPr>
          <w:color w:val="222222"/>
          <w:sz w:val="22"/>
          <w:szCs w:val="22"/>
        </w:rPr>
        <w:t>Teva</w:t>
      </w:r>
      <w:proofErr w:type="spellEnd"/>
      <w:r w:rsidRPr="001E3957">
        <w:rPr>
          <w:color w:val="222222"/>
          <w:sz w:val="22"/>
          <w:szCs w:val="22"/>
        </w:rPr>
        <w:t xml:space="preserve"> B.V., </w:t>
      </w:r>
      <w:proofErr w:type="spellStart"/>
      <w:r w:rsidRPr="001E3957">
        <w:rPr>
          <w:color w:val="222222"/>
        </w:rPr>
        <w:t>Swensweg</w:t>
      </w:r>
      <w:proofErr w:type="spellEnd"/>
      <w:r w:rsidRPr="001E3957">
        <w:rPr>
          <w:color w:val="222222"/>
        </w:rPr>
        <w:t xml:space="preserve"> 5, 2031 GA </w:t>
      </w:r>
      <w:proofErr w:type="spellStart"/>
      <w:r w:rsidRPr="001E3957">
        <w:rPr>
          <w:color w:val="222222"/>
        </w:rPr>
        <w:t>Haarlem</w:t>
      </w:r>
      <w:proofErr w:type="spellEnd"/>
      <w:r w:rsidRPr="001E3957">
        <w:rPr>
          <w:color w:val="222222"/>
        </w:rPr>
        <w:t>, Nyderlandai</w:t>
      </w:r>
    </w:p>
    <w:p w:rsidR="0097338B" w:rsidRPr="00124A5D" w:rsidRDefault="0097338B" w:rsidP="0097338B">
      <w:pPr>
        <w:pStyle w:val="BTEMEASMCA"/>
        <w:rPr>
          <w:noProof w:val="0"/>
        </w:rPr>
      </w:pPr>
    </w:p>
    <w:p w:rsidR="0097338B" w:rsidRPr="00124A5D" w:rsidRDefault="0097338B" w:rsidP="0097338B">
      <w:pPr>
        <w:rPr>
          <w:sz w:val="22"/>
          <w:szCs w:val="22"/>
        </w:rPr>
      </w:pPr>
      <w:r w:rsidRPr="0024417F">
        <w:rPr>
          <w:i/>
          <w:sz w:val="22"/>
          <w:szCs w:val="22"/>
        </w:rPr>
        <w:t>Gamintoja</w:t>
      </w:r>
      <w:r>
        <w:rPr>
          <w:i/>
          <w:sz w:val="22"/>
          <w:szCs w:val="22"/>
        </w:rPr>
        <w:t>s</w:t>
      </w:r>
    </w:p>
    <w:p w:rsidR="0097338B" w:rsidRDefault="0097338B" w:rsidP="0097338B">
      <w:pPr>
        <w:tabs>
          <w:tab w:val="left" w:pos="567"/>
        </w:tabs>
        <w:rPr>
          <w:sz w:val="22"/>
          <w:szCs w:val="22"/>
        </w:rPr>
      </w:pPr>
      <w:proofErr w:type="spellStart"/>
      <w:r w:rsidRPr="00780EDB">
        <w:rPr>
          <w:sz w:val="22"/>
          <w:szCs w:val="22"/>
        </w:rPr>
        <w:t>Merc</w:t>
      </w:r>
      <w:r>
        <w:rPr>
          <w:sz w:val="22"/>
          <w:szCs w:val="22"/>
        </w:rPr>
        <w:t>k</w:t>
      </w:r>
      <w:r w:rsidRPr="00780EDB">
        <w:rPr>
          <w:sz w:val="22"/>
          <w:szCs w:val="22"/>
        </w:rPr>
        <w:t>le</w:t>
      </w:r>
      <w:proofErr w:type="spellEnd"/>
      <w:r w:rsidRPr="00780EDB">
        <w:rPr>
          <w:sz w:val="22"/>
          <w:szCs w:val="22"/>
        </w:rPr>
        <w:t xml:space="preserve"> </w:t>
      </w:r>
      <w:proofErr w:type="spellStart"/>
      <w:r w:rsidRPr="00780EDB">
        <w:rPr>
          <w:sz w:val="22"/>
          <w:szCs w:val="22"/>
        </w:rPr>
        <w:t>GmbH</w:t>
      </w:r>
      <w:proofErr w:type="spellEnd"/>
      <w:r>
        <w:rPr>
          <w:sz w:val="22"/>
          <w:szCs w:val="22"/>
        </w:rPr>
        <w:t xml:space="preserve">, </w:t>
      </w:r>
      <w:proofErr w:type="spellStart"/>
      <w:r w:rsidRPr="00780EDB">
        <w:rPr>
          <w:sz w:val="22"/>
          <w:szCs w:val="22"/>
        </w:rPr>
        <w:t>Ludwig-Merc</w:t>
      </w:r>
      <w:r>
        <w:rPr>
          <w:sz w:val="22"/>
          <w:szCs w:val="22"/>
        </w:rPr>
        <w:t>k</w:t>
      </w:r>
      <w:r w:rsidRPr="00780EDB">
        <w:rPr>
          <w:sz w:val="22"/>
          <w:szCs w:val="22"/>
        </w:rPr>
        <w:t>le-Strasse</w:t>
      </w:r>
      <w:proofErr w:type="spellEnd"/>
      <w:r w:rsidRPr="00780EDB">
        <w:rPr>
          <w:sz w:val="22"/>
          <w:szCs w:val="22"/>
        </w:rPr>
        <w:t xml:space="preserve"> 3</w:t>
      </w:r>
      <w:r>
        <w:rPr>
          <w:sz w:val="22"/>
          <w:szCs w:val="22"/>
        </w:rPr>
        <w:t xml:space="preserve">, </w:t>
      </w:r>
      <w:r w:rsidRPr="00780EDB">
        <w:rPr>
          <w:sz w:val="22"/>
          <w:szCs w:val="22"/>
        </w:rPr>
        <w:t xml:space="preserve">89143 </w:t>
      </w:r>
      <w:proofErr w:type="spellStart"/>
      <w:r w:rsidRPr="00780EDB">
        <w:rPr>
          <w:sz w:val="22"/>
          <w:szCs w:val="22"/>
        </w:rPr>
        <w:t>Blaubeuren</w:t>
      </w:r>
      <w:proofErr w:type="spellEnd"/>
      <w:r>
        <w:rPr>
          <w:sz w:val="22"/>
          <w:szCs w:val="22"/>
        </w:rPr>
        <w:t xml:space="preserve">, </w:t>
      </w:r>
      <w:r w:rsidRPr="00780EDB">
        <w:rPr>
          <w:sz w:val="22"/>
          <w:szCs w:val="22"/>
        </w:rPr>
        <w:t>Vokietija</w:t>
      </w:r>
    </w:p>
    <w:p w:rsidR="0097338B" w:rsidRDefault="0097338B" w:rsidP="0097338B">
      <w:pPr>
        <w:pStyle w:val="BTEMEASMCA"/>
        <w:rPr>
          <w:noProof w:val="0"/>
        </w:rPr>
      </w:pPr>
    </w:p>
    <w:p w:rsidR="0097338B" w:rsidRPr="00124A5D" w:rsidRDefault="0097338B" w:rsidP="0097338B">
      <w:pPr>
        <w:pStyle w:val="BTEMEASMCA"/>
        <w:rPr>
          <w:noProof w:val="0"/>
        </w:rPr>
      </w:pPr>
    </w:p>
    <w:p w:rsidR="0097338B" w:rsidRPr="00124A5D" w:rsidRDefault="0097338B" w:rsidP="0097338B">
      <w:pPr>
        <w:pStyle w:val="BTEMEASMCA"/>
        <w:rPr>
          <w:noProof w:val="0"/>
        </w:rPr>
      </w:pPr>
      <w:r w:rsidRPr="00124A5D">
        <w:rPr>
          <w:noProof w:val="0"/>
        </w:rPr>
        <w:t xml:space="preserve">Jeigu apie šį vaistą norite sužinoti daugiau, kreipkitės į vietinį </w:t>
      </w:r>
      <w:r>
        <w:rPr>
          <w:noProof w:val="0"/>
        </w:rPr>
        <w:t>registruotojo</w:t>
      </w:r>
      <w:r w:rsidRPr="00124A5D">
        <w:rPr>
          <w:noProof w:val="0"/>
        </w:rPr>
        <w:t xml:space="preserve"> atstovą.</w:t>
      </w:r>
    </w:p>
    <w:p w:rsidR="0097338B" w:rsidRPr="00124A5D" w:rsidRDefault="0097338B" w:rsidP="0097338B">
      <w:pPr>
        <w:rPr>
          <w:sz w:val="22"/>
          <w:szCs w:val="22"/>
        </w:rPr>
      </w:pPr>
    </w:p>
    <w:tbl>
      <w:tblPr>
        <w:tblW w:w="4678" w:type="dxa"/>
        <w:tblInd w:w="-34" w:type="dxa"/>
        <w:tblLayout w:type="fixed"/>
        <w:tblLook w:val="0000" w:firstRow="0" w:lastRow="0" w:firstColumn="0" w:lastColumn="0" w:noHBand="0" w:noVBand="0"/>
      </w:tblPr>
      <w:tblGrid>
        <w:gridCol w:w="4678"/>
      </w:tblGrid>
      <w:tr w:rsidR="0097338B" w:rsidRPr="00124A5D" w:rsidTr="000D0FFD">
        <w:tc>
          <w:tcPr>
            <w:tcW w:w="4678" w:type="dxa"/>
          </w:tcPr>
          <w:p w:rsidR="0097338B" w:rsidRPr="00780EDB" w:rsidRDefault="0097338B" w:rsidP="000D0FFD">
            <w:pPr>
              <w:tabs>
                <w:tab w:val="left" w:pos="567"/>
              </w:tabs>
              <w:rPr>
                <w:sz w:val="22"/>
                <w:szCs w:val="22"/>
              </w:rPr>
            </w:pPr>
            <w:r w:rsidRPr="00780EDB">
              <w:rPr>
                <w:sz w:val="22"/>
                <w:szCs w:val="22"/>
              </w:rPr>
              <w:t xml:space="preserve">UAB </w:t>
            </w:r>
            <w:proofErr w:type="spellStart"/>
            <w:r>
              <w:rPr>
                <w:sz w:val="22"/>
                <w:szCs w:val="22"/>
              </w:rPr>
              <w:t>Teva</w:t>
            </w:r>
            <w:proofErr w:type="spellEnd"/>
            <w:r>
              <w:rPr>
                <w:sz w:val="22"/>
                <w:szCs w:val="22"/>
              </w:rPr>
              <w:t xml:space="preserve"> Baltics</w:t>
            </w:r>
            <w:r w:rsidRPr="00780EDB">
              <w:rPr>
                <w:sz w:val="22"/>
                <w:szCs w:val="22"/>
              </w:rPr>
              <w:t xml:space="preserve"> </w:t>
            </w:r>
          </w:p>
          <w:p w:rsidR="0097338B" w:rsidRPr="00780EDB" w:rsidRDefault="0097338B" w:rsidP="000D0FFD">
            <w:pPr>
              <w:tabs>
                <w:tab w:val="left" w:pos="567"/>
              </w:tabs>
              <w:rPr>
                <w:sz w:val="22"/>
                <w:szCs w:val="22"/>
              </w:rPr>
            </w:pPr>
            <w:r>
              <w:rPr>
                <w:sz w:val="22"/>
                <w:szCs w:val="22"/>
              </w:rPr>
              <w:t>Molėtų pl. 5</w:t>
            </w:r>
          </w:p>
          <w:p w:rsidR="0097338B" w:rsidRPr="00780EDB" w:rsidRDefault="0097338B" w:rsidP="000D0FFD">
            <w:pPr>
              <w:tabs>
                <w:tab w:val="left" w:pos="567"/>
              </w:tabs>
              <w:rPr>
                <w:sz w:val="22"/>
                <w:szCs w:val="22"/>
              </w:rPr>
            </w:pPr>
            <w:r w:rsidRPr="00780EDB">
              <w:rPr>
                <w:sz w:val="22"/>
                <w:szCs w:val="22"/>
              </w:rPr>
              <w:t>LT-</w:t>
            </w:r>
            <w:r>
              <w:rPr>
                <w:sz w:val="22"/>
                <w:szCs w:val="22"/>
              </w:rPr>
              <w:t>08409</w:t>
            </w:r>
            <w:r w:rsidRPr="00780EDB">
              <w:rPr>
                <w:sz w:val="22"/>
                <w:szCs w:val="22"/>
              </w:rPr>
              <w:t xml:space="preserve"> Vilnius</w:t>
            </w:r>
          </w:p>
          <w:p w:rsidR="0097338B" w:rsidRPr="00780EDB" w:rsidRDefault="0097338B" w:rsidP="000D0FFD">
            <w:pPr>
              <w:tabs>
                <w:tab w:val="left" w:pos="567"/>
              </w:tabs>
              <w:rPr>
                <w:sz w:val="22"/>
                <w:szCs w:val="22"/>
              </w:rPr>
            </w:pPr>
            <w:r w:rsidRPr="00780EDB">
              <w:rPr>
                <w:sz w:val="22"/>
                <w:szCs w:val="22"/>
              </w:rPr>
              <w:t>Tel. +370 5 266 02 03</w:t>
            </w:r>
          </w:p>
          <w:p w:rsidR="0097338B" w:rsidRPr="00124A5D" w:rsidRDefault="0097338B" w:rsidP="000D0FFD">
            <w:pPr>
              <w:tabs>
                <w:tab w:val="left" w:pos="-720"/>
              </w:tabs>
              <w:suppressAutoHyphens/>
              <w:rPr>
                <w:sz w:val="22"/>
                <w:szCs w:val="22"/>
              </w:rPr>
            </w:pPr>
          </w:p>
        </w:tc>
      </w:tr>
    </w:tbl>
    <w:p w:rsidR="0097338B" w:rsidRPr="00124A5D" w:rsidRDefault="0097338B" w:rsidP="0097338B">
      <w:pPr>
        <w:pStyle w:val="BTbEMEASMCA"/>
        <w:rPr>
          <w:noProof w:val="0"/>
        </w:rPr>
      </w:pPr>
      <w:r w:rsidRPr="00124A5D">
        <w:rPr>
          <w:bCs/>
          <w:noProof w:val="0"/>
        </w:rPr>
        <w:t>Šis pakuotės lapelis</w:t>
      </w:r>
      <w:r w:rsidRPr="00124A5D">
        <w:rPr>
          <w:noProof w:val="0"/>
        </w:rPr>
        <w:t xml:space="preserve"> paskutinį kartą </w:t>
      </w:r>
      <w:r>
        <w:rPr>
          <w:noProof w:val="0"/>
        </w:rPr>
        <w:t>peržiūrėtas 2021-04-23.</w:t>
      </w:r>
    </w:p>
    <w:p w:rsidR="0097338B" w:rsidRDefault="0097338B" w:rsidP="0097338B">
      <w:pPr>
        <w:rPr>
          <w:sz w:val="22"/>
          <w:szCs w:val="22"/>
        </w:rPr>
      </w:pPr>
    </w:p>
    <w:p w:rsidR="0097338B" w:rsidRPr="00124A5D" w:rsidRDefault="0097338B" w:rsidP="0097338B">
      <w:pPr>
        <w:pStyle w:val="BTEMEASMCA"/>
        <w:rPr>
          <w:noProof w:val="0"/>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8" w:history="1">
        <w:r w:rsidRPr="00506E50">
          <w:rPr>
            <w:rStyle w:val="Hipersaitas"/>
            <w:rFonts w:eastAsia="SimSun"/>
          </w:rPr>
          <w:t>http://www.vvkt.lt/</w:t>
        </w:r>
      </w:hyperlink>
      <w:r w:rsidRPr="00F70E65">
        <w:t>.</w:t>
      </w:r>
    </w:p>
    <w:p w:rsidR="009041DB" w:rsidRDefault="009041DB">
      <w:bookmarkStart w:id="12" w:name="_GoBack"/>
      <w:bookmarkEnd w:id="12"/>
    </w:p>
    <w:sectPr w:rsidR="009041DB" w:rsidSect="0097338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60DC4F84"/>
    <w:lvl w:ilvl="0" w:tplc="CE8E9B1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8B"/>
    <w:rsid w:val="009041DB"/>
    <w:rsid w:val="0097338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6F9F7-CD47-45B3-8CEA-3296CF8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38B"/>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9733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733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7338B"/>
    <w:rPr>
      <w:color w:val="0000FF"/>
      <w:u w:val="single"/>
    </w:rPr>
  </w:style>
  <w:style w:type="paragraph" w:customStyle="1" w:styleId="PI-1EMEASMCA">
    <w:name w:val="PI-1 EMEA_SMCA"/>
    <w:basedOn w:val="Antrat2"/>
    <w:autoRedefine/>
    <w:rsid w:val="0097338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97338B"/>
    <w:rPr>
      <w:noProof/>
      <w:sz w:val="22"/>
      <w:szCs w:val="22"/>
    </w:rPr>
  </w:style>
  <w:style w:type="paragraph" w:customStyle="1" w:styleId="TTEMEASMCA">
    <w:name w:val="TT EMEA_SMCA"/>
    <w:basedOn w:val="Antrat1"/>
    <w:link w:val="TTEMEASMCAChar"/>
    <w:autoRedefine/>
    <w:rsid w:val="0097338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97338B"/>
    <w:rPr>
      <w:rFonts w:ascii="Times New Roman" w:hAnsi="Times New Roman" w:cs="Times New Roman"/>
      <w:b/>
      <w:caps/>
      <w:lang w:val="en-US"/>
    </w:rPr>
  </w:style>
  <w:style w:type="paragraph" w:customStyle="1" w:styleId="BT-EMEASMCA">
    <w:name w:val="BT- EMEA_SMCA"/>
    <w:basedOn w:val="BTEMEASMCA"/>
    <w:autoRedefine/>
    <w:rsid w:val="0097338B"/>
    <w:pPr>
      <w:numPr>
        <w:numId w:val="1"/>
      </w:numPr>
      <w:tabs>
        <w:tab w:val="clear" w:pos="720"/>
        <w:tab w:val="num" w:pos="426"/>
      </w:tabs>
      <w:ind w:left="0" w:firstLine="0"/>
    </w:pPr>
  </w:style>
  <w:style w:type="paragraph" w:customStyle="1" w:styleId="PI-3EMEASMCA">
    <w:name w:val="PI-3 EMEA_SMCA"/>
    <w:basedOn w:val="prastasis"/>
    <w:autoRedefine/>
    <w:rsid w:val="0097338B"/>
    <w:pPr>
      <w:spacing w:line="220" w:lineRule="exact"/>
    </w:pPr>
    <w:rPr>
      <w:b/>
      <w:bCs/>
      <w:sz w:val="22"/>
      <w:szCs w:val="22"/>
    </w:rPr>
  </w:style>
  <w:style w:type="paragraph" w:customStyle="1" w:styleId="BTbEMEASMCA">
    <w:name w:val="BT(b) EMEA_SMCA"/>
    <w:basedOn w:val="BTEMEASMCA"/>
    <w:autoRedefine/>
    <w:rsid w:val="0097338B"/>
    <w:rPr>
      <w:b/>
    </w:rPr>
  </w:style>
  <w:style w:type="paragraph" w:customStyle="1" w:styleId="BTbeEMEASMCA">
    <w:name w:val="BT(be) EMEA_SMCA"/>
    <w:basedOn w:val="BTEMEASMCA"/>
    <w:autoRedefine/>
    <w:rsid w:val="0097338B"/>
    <w:pPr>
      <w:jc w:val="center"/>
    </w:pPr>
    <w:rPr>
      <w:b/>
    </w:rPr>
  </w:style>
  <w:style w:type="paragraph" w:customStyle="1" w:styleId="BTeEMEASMCA">
    <w:name w:val="BT(e) EMEA_SMCA"/>
    <w:basedOn w:val="BTEMEASMCA"/>
    <w:autoRedefine/>
    <w:rsid w:val="0097338B"/>
    <w:pPr>
      <w:jc w:val="center"/>
    </w:pPr>
  </w:style>
  <w:style w:type="character" w:customStyle="1" w:styleId="BTEMEASMCAChar">
    <w:name w:val="BT EMEA_SMCA Char"/>
    <w:link w:val="BTEMEASMCA"/>
    <w:rsid w:val="0097338B"/>
    <w:rPr>
      <w:rFonts w:ascii="Times New Roman" w:hAnsi="Times New Roman" w:cs="Times New Roman"/>
      <w:noProof/>
    </w:rPr>
  </w:style>
  <w:style w:type="paragraph" w:styleId="Pagrindinistekstas">
    <w:name w:val="Body Text"/>
    <w:basedOn w:val="prastasis"/>
    <w:link w:val="PagrindinistekstasDiagrama"/>
    <w:rsid w:val="0097338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7338B"/>
    <w:rPr>
      <w:rFonts w:ascii="Times New Roman" w:hAnsi="Times New Roman" w:cs="Times New Roman"/>
      <w:szCs w:val="20"/>
      <w:lang w:eastAsia="lt-LT"/>
    </w:rPr>
  </w:style>
  <w:style w:type="paragraph" w:styleId="Pagrindinistekstas2">
    <w:name w:val="Body Text 2"/>
    <w:basedOn w:val="prastasis"/>
    <w:link w:val="Pagrindinistekstas2Diagrama"/>
    <w:rsid w:val="0097338B"/>
    <w:pPr>
      <w:spacing w:after="120" w:line="480" w:lineRule="auto"/>
    </w:pPr>
  </w:style>
  <w:style w:type="character" w:customStyle="1" w:styleId="Pagrindinistekstas2Diagrama">
    <w:name w:val="Pagrindinis tekstas 2 Diagrama"/>
    <w:basedOn w:val="Numatytasispastraiposriftas"/>
    <w:link w:val="Pagrindinistekstas2"/>
    <w:rsid w:val="0097338B"/>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97338B"/>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733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6627</Words>
  <Characters>3778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2021-05-12T11:44:00Z</dcterms:created>
  <dcterms:modified xsi:type="dcterms:W3CDTF">2021-05-12T11:45:00Z</dcterms:modified>
</cp:coreProperties>
</file>