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B8" w:rsidRDefault="000710B8" w:rsidP="000710B8">
      <w:pPr>
        <w:widowControl w:val="0"/>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Pakuotės lapelis: informacija pacientui</w:t>
      </w:r>
    </w:p>
    <w:p w:rsidR="000710B8" w:rsidRDefault="000710B8" w:rsidP="000710B8">
      <w:pPr>
        <w:widowControl w:val="0"/>
        <w:spacing w:after="0" w:line="240" w:lineRule="auto"/>
        <w:jc w:val="center"/>
        <w:outlineLvl w:val="0"/>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400</w:t>
      </w:r>
      <w:r>
        <w:rPr>
          <w:rFonts w:ascii="Times New Roman" w:eastAsia="Times New Roman" w:hAnsi="Times New Roman" w:cs="Times New Roman"/>
          <w:lang w:eastAsia="lt-LT"/>
        </w:rPr>
        <w:t> </w:t>
      </w:r>
      <w:r>
        <w:rPr>
          <w:rFonts w:ascii="Times New Roman" w:eastAsia="Times New Roman" w:hAnsi="Times New Roman" w:cs="Times New Roman"/>
          <w:b/>
          <w:lang w:eastAsia="lt-LT"/>
        </w:rPr>
        <w:t>mg tabletės</w:t>
      </w:r>
    </w:p>
    <w:p w:rsidR="000710B8" w:rsidRDefault="000710B8" w:rsidP="000710B8">
      <w:pPr>
        <w:widowControl w:val="0"/>
        <w:spacing w:after="0" w:line="240" w:lineRule="auto"/>
        <w:jc w:val="center"/>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p>
    <w:p w:rsidR="000710B8" w:rsidRDefault="000710B8" w:rsidP="000710B8">
      <w:pPr>
        <w:widowControl w:val="0"/>
        <w:spacing w:after="0" w:line="240" w:lineRule="auto"/>
        <w:jc w:val="both"/>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rsidR="000710B8" w:rsidRDefault="000710B8" w:rsidP="000710B8">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lapelio, nes vėl gali prireikti jį perskaityti.</w:t>
      </w:r>
    </w:p>
    <w:p w:rsidR="000710B8" w:rsidRDefault="000710B8" w:rsidP="000710B8">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rsidR="000710B8" w:rsidRDefault="000710B8" w:rsidP="000710B8">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Preparatas gali jiems pakenkti (net tokiu atveju, jeigu jų ligos požymiai yra tokie patys kaip Jūsų).</w:t>
      </w:r>
    </w:p>
    <w:p w:rsidR="000710B8" w:rsidRDefault="000710B8" w:rsidP="000710B8">
      <w:pPr>
        <w:widowControl w:val="0"/>
        <w:numPr>
          <w:ilvl w:val="0"/>
          <w:numId w:val="1"/>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noProof/>
          <w:snapToGrid w:val="0"/>
          <w:lang w:eastAsia="sl-SI"/>
        </w:rPr>
        <w:t>Jeigu pasireiškė šalutinis poveikis (net jeigu jis šiame lapelyje nenurodytas), kreipkitės į gydytoją arba vaistininką. Žr. 4 skyrių.</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yra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ir kam jis vartojamas</w:t>
      </w:r>
    </w:p>
    <w:p w:rsidR="000710B8" w:rsidRDefault="000710B8" w:rsidP="000710B8">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žinotina prieš vartojant </w:t>
      </w:r>
      <w:proofErr w:type="spellStart"/>
      <w:r>
        <w:rPr>
          <w:rFonts w:ascii="Times New Roman" w:eastAsia="Times New Roman" w:hAnsi="Times New Roman" w:cs="Times New Roman"/>
          <w:lang w:eastAsia="lt-LT"/>
        </w:rPr>
        <w:t>Efloran</w:t>
      </w:r>
      <w:proofErr w:type="spellEnd"/>
    </w:p>
    <w:p w:rsidR="000710B8" w:rsidRDefault="000710B8" w:rsidP="000710B8">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Kaip vartoti </w:t>
      </w:r>
      <w:proofErr w:type="spellStart"/>
      <w:r>
        <w:rPr>
          <w:rFonts w:ascii="Times New Roman" w:eastAsia="Times New Roman" w:hAnsi="Times New Roman" w:cs="Times New Roman"/>
          <w:lang w:eastAsia="lt-LT"/>
        </w:rPr>
        <w:t>Efloran</w:t>
      </w:r>
      <w:proofErr w:type="spellEnd"/>
    </w:p>
    <w:p w:rsidR="000710B8" w:rsidRDefault="000710B8" w:rsidP="000710B8">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Galimas šalutinis poveikis</w:t>
      </w:r>
    </w:p>
    <w:p w:rsidR="000710B8" w:rsidRDefault="000710B8" w:rsidP="000710B8">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Kaip laikyti </w:t>
      </w:r>
      <w:proofErr w:type="spellStart"/>
      <w:r>
        <w:rPr>
          <w:rFonts w:ascii="Times New Roman" w:eastAsia="Times New Roman" w:hAnsi="Times New Roman" w:cs="Times New Roman"/>
          <w:lang w:eastAsia="lt-LT"/>
        </w:rPr>
        <w:t>Efloran</w:t>
      </w:r>
      <w:proofErr w:type="spellEnd"/>
    </w:p>
    <w:p w:rsidR="000710B8" w:rsidRDefault="000710B8" w:rsidP="000710B8">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Pakuotės turinys ir kita informacija</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lang w:eastAsia="lt-LT"/>
        </w:rPr>
        <w:tab/>
      </w:r>
      <w:r>
        <w:rPr>
          <w:rFonts w:ascii="Times New Roman" w:eastAsia="Times New Roman" w:hAnsi="Times New Roman" w:cs="Times New Roman"/>
          <w:b/>
          <w:lang w:eastAsia="lt-LT"/>
        </w:rPr>
        <w:t xml:space="preserve">Kas yra </w:t>
      </w: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ir kam jis vartojamas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yra antimikrobinė </w:t>
      </w:r>
      <w:proofErr w:type="spellStart"/>
      <w:r>
        <w:rPr>
          <w:rFonts w:ascii="Times New Roman" w:eastAsia="Times New Roman" w:hAnsi="Times New Roman" w:cs="Times New Roman"/>
          <w:lang w:eastAsia="lt-LT"/>
        </w:rPr>
        <w:t>nitroimidazolų</w:t>
      </w:r>
      <w:proofErr w:type="spellEnd"/>
      <w:r>
        <w:rPr>
          <w:rFonts w:ascii="Times New Roman" w:eastAsia="Times New Roman" w:hAnsi="Times New Roman" w:cs="Times New Roman"/>
          <w:lang w:eastAsia="lt-LT"/>
        </w:rPr>
        <w:t xml:space="preserve"> grupės veiklioji medžiaga, kuri geriausiai vei</w:t>
      </w:r>
      <w:r>
        <w:rPr>
          <w:rFonts w:ascii="Times New Roman" w:eastAsia="Times New Roman" w:hAnsi="Times New Roman" w:cs="Times New Roman"/>
          <w:lang w:eastAsia="lt-LT"/>
        </w:rPr>
        <w:softHyphen/>
        <w:t xml:space="preserve">kia anaerobinius mikroorganizmus – </w:t>
      </w:r>
      <w:proofErr w:type="spellStart"/>
      <w:r>
        <w:rPr>
          <w:rFonts w:ascii="Times New Roman" w:eastAsia="Times New Roman" w:hAnsi="Times New Roman" w:cs="Times New Roman"/>
          <w:lang w:eastAsia="lt-LT"/>
        </w:rPr>
        <w:t>gramneigiamas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gramteigiamas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Bacteroides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Clostridium</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Eubacterium</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Peptococcus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i/>
          <w:lang w:eastAsia="lt-LT"/>
        </w:rPr>
        <w:t>Peptostreptococcus</w:t>
      </w:r>
      <w:proofErr w:type="spellEnd"/>
      <w:r>
        <w:rPr>
          <w:rFonts w:ascii="Times New Roman" w:eastAsia="Times New Roman" w:hAnsi="Times New Roman" w:cs="Times New Roman"/>
          <w:lang w:eastAsia="lt-LT"/>
        </w:rPr>
        <w:t xml:space="preserve"> rūšių bei kitas jautrias bakterijas. Be to, šis vaistas išgydo kai kurias parazitų sukeltas infekcijas (stipriai naikina </w:t>
      </w:r>
      <w:proofErr w:type="spellStart"/>
      <w:r>
        <w:rPr>
          <w:rFonts w:ascii="Times New Roman" w:eastAsia="Times New Roman" w:hAnsi="Times New Roman" w:cs="Times New Roman"/>
          <w:lang w:eastAsia="lt-LT"/>
        </w:rPr>
        <w:t>trichomonas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lamblijas</w:t>
      </w:r>
      <w:proofErr w:type="spellEnd"/>
      <w:r>
        <w:rPr>
          <w:rFonts w:ascii="Times New Roman" w:eastAsia="Times New Roman" w:hAnsi="Times New Roman" w:cs="Times New Roman"/>
          <w:lang w:eastAsia="lt-LT"/>
        </w:rPr>
        <w:t>).</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vartojamas:</w:t>
      </w:r>
    </w:p>
    <w:p w:rsidR="000710B8" w:rsidRDefault="000710B8" w:rsidP="000710B8">
      <w:pPr>
        <w:widowControl w:val="0"/>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ginekologinėms, kai kurioms pilvo, kvėpavimo takų, kaulų, sąnarių, odos, minkštųjų ir </w:t>
      </w:r>
      <w:proofErr w:type="spellStart"/>
      <w:r>
        <w:rPr>
          <w:rFonts w:ascii="Times New Roman" w:eastAsia="Times New Roman" w:hAnsi="Times New Roman" w:cs="Times New Roman"/>
          <w:lang w:eastAsia="lt-LT"/>
        </w:rPr>
        <w:t>apydančio</w:t>
      </w:r>
      <w:proofErr w:type="spellEnd"/>
      <w:r>
        <w:rPr>
          <w:rFonts w:ascii="Times New Roman" w:eastAsia="Times New Roman" w:hAnsi="Times New Roman" w:cs="Times New Roman"/>
          <w:lang w:eastAsia="lt-LT"/>
        </w:rPr>
        <w:t xml:space="preserve"> audinių, centrinės nervų sistemos, kraujo (</w:t>
      </w:r>
      <w:proofErr w:type="spellStart"/>
      <w:r>
        <w:rPr>
          <w:rFonts w:ascii="Times New Roman" w:eastAsia="Times New Roman" w:hAnsi="Times New Roman" w:cs="Times New Roman"/>
          <w:lang w:eastAsia="lt-LT"/>
        </w:rPr>
        <w:t>bakteriemijai</w:t>
      </w:r>
      <w:proofErr w:type="spellEnd"/>
      <w:r>
        <w:rPr>
          <w:rFonts w:ascii="Times New Roman" w:eastAsia="Times New Roman" w:hAnsi="Times New Roman" w:cs="Times New Roman"/>
          <w:lang w:eastAsia="lt-LT"/>
        </w:rPr>
        <w:t xml:space="preserve">, sepsiui) infekcinėms ligoms bei širdies vožtuvų infekcijai (bakteriniam </w:t>
      </w:r>
      <w:proofErr w:type="spellStart"/>
      <w:r>
        <w:rPr>
          <w:rFonts w:ascii="Times New Roman" w:eastAsia="Times New Roman" w:hAnsi="Times New Roman" w:cs="Times New Roman"/>
          <w:lang w:eastAsia="lt-LT"/>
        </w:rPr>
        <w:t>endokarditui</w:t>
      </w:r>
      <w:proofErr w:type="spellEnd"/>
      <w:r>
        <w:rPr>
          <w:rFonts w:ascii="Times New Roman" w:eastAsia="Times New Roman" w:hAnsi="Times New Roman" w:cs="Times New Roman"/>
          <w:lang w:eastAsia="lt-LT"/>
        </w:rPr>
        <w:t>) gydyti;</w:t>
      </w:r>
    </w:p>
    <w:p w:rsidR="000710B8" w:rsidRDefault="000710B8" w:rsidP="000710B8">
      <w:pPr>
        <w:widowControl w:val="0"/>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žarnyno infekcinei ligai (</w:t>
      </w:r>
      <w:proofErr w:type="spellStart"/>
      <w:r>
        <w:rPr>
          <w:rFonts w:ascii="Times New Roman" w:eastAsia="Times New Roman" w:hAnsi="Times New Roman" w:cs="Times New Roman"/>
          <w:lang w:eastAsia="lt-LT"/>
        </w:rPr>
        <w:t>enterokolitui</w:t>
      </w:r>
      <w:proofErr w:type="spellEnd"/>
      <w:r>
        <w:rPr>
          <w:rFonts w:ascii="Times New Roman" w:eastAsia="Times New Roman" w:hAnsi="Times New Roman" w:cs="Times New Roman"/>
          <w:lang w:eastAsia="lt-LT"/>
        </w:rPr>
        <w:t xml:space="preserve">), makšties infekcijai (bakterinei </w:t>
      </w:r>
      <w:proofErr w:type="spellStart"/>
      <w:r>
        <w:rPr>
          <w:rFonts w:ascii="Times New Roman" w:eastAsia="Times New Roman" w:hAnsi="Times New Roman" w:cs="Times New Roman"/>
          <w:lang w:eastAsia="lt-LT"/>
        </w:rPr>
        <w:t>vaginozei</w:t>
      </w:r>
      <w:proofErr w:type="spellEnd"/>
      <w:r>
        <w:rPr>
          <w:rFonts w:ascii="Times New Roman" w:eastAsia="Times New Roman" w:hAnsi="Times New Roman" w:cs="Times New Roman"/>
          <w:lang w:eastAsia="lt-LT"/>
        </w:rPr>
        <w:t>), parazitų sukeltoms žarnų ir nežarninėms infekcinėms ligoms (</w:t>
      </w:r>
      <w:proofErr w:type="spellStart"/>
      <w:r>
        <w:rPr>
          <w:rFonts w:ascii="Times New Roman" w:eastAsia="Times New Roman" w:hAnsi="Times New Roman" w:cs="Times New Roman"/>
          <w:lang w:eastAsia="lt-LT"/>
        </w:rPr>
        <w:t>amebiazei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lambliozei</w:t>
      </w:r>
      <w:proofErr w:type="spellEnd"/>
      <w:r>
        <w:rPr>
          <w:rFonts w:ascii="Times New Roman" w:eastAsia="Times New Roman" w:hAnsi="Times New Roman" w:cs="Times New Roman"/>
          <w:lang w:eastAsia="lt-LT"/>
        </w:rPr>
        <w:t xml:space="preserve"> ir trichomonozei), opiniam dantenų uždegimui (opiniam </w:t>
      </w:r>
      <w:proofErr w:type="spellStart"/>
      <w:r>
        <w:rPr>
          <w:rFonts w:ascii="Times New Roman" w:eastAsia="Times New Roman" w:hAnsi="Times New Roman" w:cs="Times New Roman"/>
          <w:lang w:eastAsia="lt-LT"/>
        </w:rPr>
        <w:t>gingivitui</w:t>
      </w:r>
      <w:proofErr w:type="spellEnd"/>
      <w:r>
        <w:rPr>
          <w:rFonts w:ascii="Times New Roman" w:eastAsia="Times New Roman" w:hAnsi="Times New Roman" w:cs="Times New Roman"/>
          <w:lang w:eastAsia="lt-LT"/>
        </w:rPr>
        <w:t>) gydyti;</w:t>
      </w:r>
    </w:p>
    <w:p w:rsidR="000710B8" w:rsidRDefault="000710B8" w:rsidP="000710B8">
      <w:pPr>
        <w:widowControl w:val="0"/>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bakterijoms </w:t>
      </w:r>
      <w:proofErr w:type="spellStart"/>
      <w:r>
        <w:rPr>
          <w:rFonts w:ascii="Times New Roman" w:eastAsia="Times New Roman" w:hAnsi="Times New Roman" w:cs="Times New Roman"/>
          <w:i/>
          <w:lang w:eastAsia="lt-LT"/>
        </w:rPr>
        <w:t>Helicobacter</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pylori</w:t>
      </w:r>
      <w:proofErr w:type="spellEnd"/>
      <w:r>
        <w:rPr>
          <w:rFonts w:ascii="Times New Roman" w:eastAsia="Times New Roman" w:hAnsi="Times New Roman" w:cs="Times New Roman"/>
          <w:lang w:eastAsia="lt-LT"/>
        </w:rPr>
        <w:t xml:space="preserve"> sunaikinti.</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lang w:eastAsia="lt-LT"/>
        </w:rPr>
        <w:tab/>
      </w:r>
      <w:r>
        <w:rPr>
          <w:rFonts w:ascii="Times New Roman" w:eastAsia="Times New Roman" w:hAnsi="Times New Roman" w:cs="Times New Roman"/>
          <w:b/>
          <w:lang w:eastAsia="lt-LT"/>
        </w:rPr>
        <w:t xml:space="preserve">Kas žinotina prieš vartojant </w:t>
      </w:r>
      <w:proofErr w:type="spellStart"/>
      <w:r>
        <w:rPr>
          <w:rFonts w:ascii="Times New Roman" w:eastAsia="Times New Roman" w:hAnsi="Times New Roman" w:cs="Times New Roman"/>
          <w:b/>
          <w:lang w:eastAsia="lt-LT"/>
        </w:rPr>
        <w:t>Efloran</w:t>
      </w:r>
      <w:proofErr w:type="spellEnd"/>
    </w:p>
    <w:p w:rsidR="000710B8" w:rsidRDefault="000710B8" w:rsidP="000710B8">
      <w:pPr>
        <w:widowControl w:val="0"/>
        <w:spacing w:after="0" w:line="240" w:lineRule="auto"/>
        <w:ind w:left="567" w:hanging="567"/>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vartoti draudžiama:</w:t>
      </w:r>
    </w:p>
    <w:p w:rsidR="000710B8" w:rsidRDefault="000710B8" w:rsidP="000710B8">
      <w:pPr>
        <w:widowControl w:val="0"/>
        <w:numPr>
          <w:ilvl w:val="0"/>
          <w:numId w:val="4"/>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metronidazolui</w:t>
      </w:r>
      <w:proofErr w:type="spellEnd"/>
      <w:r>
        <w:rPr>
          <w:rFonts w:ascii="Times New Roman" w:eastAsia="Times New Roman" w:hAnsi="Times New Roman" w:cs="Times New Roman"/>
          <w:lang w:eastAsia="lt-LT"/>
        </w:rPr>
        <w:t xml:space="preserve"> ar panašioms į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cheminės struktūros vaistams (</w:t>
      </w:r>
      <w:proofErr w:type="spellStart"/>
      <w:r>
        <w:rPr>
          <w:rFonts w:ascii="Times New Roman" w:eastAsia="Times New Roman" w:hAnsi="Times New Roman" w:cs="Times New Roman"/>
          <w:lang w:eastAsia="lt-LT"/>
        </w:rPr>
        <w:t>nitroimidazolams</w:t>
      </w:r>
      <w:proofErr w:type="spellEnd"/>
      <w:r>
        <w:rPr>
          <w:rFonts w:ascii="Times New Roman" w:eastAsia="Times New Roman" w:hAnsi="Times New Roman" w:cs="Times New Roman"/>
          <w:lang w:eastAsia="lt-LT"/>
        </w:rPr>
        <w:t>) arba bet kuriai pagalbinei šio vaisto medžiagai (jos išvardintos 6 skyriuje);</w:t>
      </w:r>
    </w:p>
    <w:p w:rsidR="000710B8" w:rsidRDefault="000710B8" w:rsidP="000710B8">
      <w:pPr>
        <w:widowControl w:val="0"/>
        <w:numPr>
          <w:ilvl w:val="0"/>
          <w:numId w:val="4"/>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jeigu esate nėščia, žindote kūdikį.</w:t>
      </w:r>
    </w:p>
    <w:p w:rsidR="000710B8" w:rsidRDefault="000710B8" w:rsidP="000710B8">
      <w:pPr>
        <w:widowControl w:val="0"/>
        <w:spacing w:after="0" w:line="240" w:lineRule="auto"/>
        <w:outlineLvl w:val="0"/>
        <w:rPr>
          <w:rFonts w:ascii="Times New Roman" w:eastAsia="Times New Roman" w:hAnsi="Times New Roman" w:cs="Times New Roman"/>
          <w:b/>
          <w:lang w:eastAsia="lt-LT"/>
        </w:rPr>
      </w:pPr>
    </w:p>
    <w:p w:rsidR="000710B8" w:rsidRDefault="000710B8" w:rsidP="000710B8">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Įspėjimai ir atsargumo priemonės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Pasitarkite su gydytoju arba vaistininku prieš pradėdami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pradėdami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pasakykite gydytojui, jeigu:</w:t>
      </w:r>
    </w:p>
    <w:p w:rsidR="000710B8" w:rsidRDefault="000710B8" w:rsidP="000710B8">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sergate sunkiu kepenų nepakankamumu (dėl lėtesnio metabolizmo serume susidaro didesnė šio vaisto ir jo metabolitų koncentracija);</w:t>
      </w:r>
    </w:p>
    <w:p w:rsidR="000710B8" w:rsidRDefault="000710B8" w:rsidP="000710B8">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sergate lėtiniu inkstų nepakankamumu;</w:t>
      </w:r>
    </w:p>
    <w:p w:rsidR="000710B8" w:rsidRDefault="000710B8" w:rsidP="000710B8">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pažeisti kaulų čiulpai arba centrinė nervų sistema.</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sergantiems pacientams vartojant preparatą, kurio sudėtyje buvo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nustatyta stipraus toksinio poveikio kepenims ir (arba) ūminio kepenų nepakankamumo atvejų, įskaitant mirtį lėmusius atvejus.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Jums diagnozuotas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sindromas, Jūsų gydytojas taip pat turėtų visą gydymo </w:t>
      </w:r>
      <w:proofErr w:type="spellStart"/>
      <w:r>
        <w:rPr>
          <w:rFonts w:ascii="Times New Roman" w:eastAsia="Times New Roman" w:hAnsi="Times New Roman" w:cs="Times New Roman"/>
          <w:lang w:eastAsia="lt-LT"/>
        </w:rPr>
        <w:t>metronidazolu</w:t>
      </w:r>
      <w:proofErr w:type="spellEnd"/>
      <w:r>
        <w:rPr>
          <w:rFonts w:ascii="Times New Roman" w:eastAsia="Times New Roman" w:hAnsi="Times New Roman" w:cs="Times New Roman"/>
          <w:lang w:eastAsia="lt-LT"/>
        </w:rPr>
        <w:t xml:space="preserve"> laikotarpį ir vėliau dažnai tikrinti Jūsų kepenų veiklą.</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pranešta apie sunkias odos reakcijas, įskaitant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sindromą</w:t>
      </w:r>
      <w:r>
        <w:rPr>
          <w:rFonts w:ascii="Times New Roman" w:eastAsia="Times New Roman" w:hAnsi="Times New Roman" w:cs="Times New Roman"/>
          <w:lang w:eastAsia="lt-LT"/>
        </w:rPr>
        <w:t xml:space="preserve">,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(TEN), ūminę </w:t>
      </w:r>
      <w:proofErr w:type="spellStart"/>
      <w:r>
        <w:rPr>
          <w:rFonts w:ascii="Times New Roman" w:eastAsia="Times New Roman" w:hAnsi="Times New Roman" w:cs="Times New Roman"/>
          <w:lang w:eastAsia="lt-LT"/>
        </w:rPr>
        <w:t>generalizuotą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egzantematinę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pustuliozę</w:t>
      </w:r>
      <w:proofErr w:type="spellEnd"/>
      <w:r>
        <w:rPr>
          <w:rFonts w:ascii="Times New Roman" w:eastAsia="Times New Roman" w:hAnsi="Times New Roman" w:cs="Times New Roman"/>
          <w:lang w:eastAsia="lt-LT"/>
        </w:rPr>
        <w:t xml:space="preserve"> (ŪGEP).</w:t>
      </w:r>
    </w:p>
    <w:p w:rsidR="000710B8" w:rsidRDefault="000710B8" w:rsidP="000710B8">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sindromas</w:t>
      </w:r>
      <w:r>
        <w:rPr>
          <w:rFonts w:ascii="Times New Roman" w:eastAsia="Times New Roman" w:hAnsi="Times New Roman" w:cs="Times New Roman"/>
          <w:lang w:eastAsia="lt-LT"/>
        </w:rPr>
        <w:t>/ TEN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 </w:t>
      </w:r>
      <w:r>
        <w:rPr>
          <w:rFonts w:ascii="Times New Roman" w:eastAsia="Times New Roman" w:hAnsi="Times New Roman" w:cs="Times New Roman"/>
          <w:lang w:eastAsia="lt-LT"/>
        </w:rPr>
        <w:t>(raudonos ir patinusios akys)</w:t>
      </w:r>
      <w:r>
        <w:rPr>
          <w:rFonts w:ascii="Times New Roman" w:hAnsi="Times New Roman" w:cs="Times New Roman"/>
        </w:rPr>
        <w:t xml:space="preserve">. </w:t>
      </w:r>
      <w:r>
        <w:rPr>
          <w:rFonts w:ascii="Times New Roman" w:eastAsia="Times New Roman" w:hAnsi="Times New Roman" w:cs="Times New Roman"/>
          <w:lang w:eastAsia="lt-LT"/>
        </w:rPr>
        <w:t>Šie rimti odos išbėrimai dažnai būna lydimi karščiavimo ir (arba) į gripą panašių simptomų. Išbėrimai gali progresuoti iki plataus odos lupimosi ir gyvybei pavojingų komplikacijų arba būti mirtini.</w:t>
      </w:r>
    </w:p>
    <w:p w:rsidR="000710B8" w:rsidRDefault="000710B8" w:rsidP="000710B8">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Pradėjus gydymą, ŪGEP atsiranda kaip raudonas, žvynuotas, plačiai paplitęs išbėrimas su </w:t>
      </w:r>
      <w:proofErr w:type="spellStart"/>
      <w:r>
        <w:rPr>
          <w:rFonts w:ascii="Times New Roman" w:eastAsia="Times New Roman" w:hAnsi="Times New Roman" w:cs="Times New Roman"/>
          <w:lang w:eastAsia="lt-LT"/>
        </w:rPr>
        <w:t>iškilimais</w:t>
      </w:r>
      <w:proofErr w:type="spellEnd"/>
      <w:r>
        <w:rPr>
          <w:rFonts w:ascii="Times New Roman" w:eastAsia="Times New Roman" w:hAnsi="Times New Roman" w:cs="Times New Roman"/>
          <w:lang w:eastAsia="lt-LT"/>
        </w:rPr>
        <w:t xml:space="preserve"> po oda ir pūslelėmis, kartu su karščiavimu. Dažniausia vieta: daugiausia lokalizuota ant odos raukšlių, kamieno ir viršutinių galūnių.</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Didžiausia sunkios odos reakcijos rizika yra per savaitę, paprastai per 48 valandas nuo gydymo pradžios. Jei pasireiškia rimtas išbėrimas ar kitas iš šių odos simptomų, nutraukite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vartojimą ir nedelsdami kreipkitės į gydytoją arba kreipkitės medicininės pagalbos.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Nedelsdami praneškite savo gydytojui ir nustokite vartoti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jei Jums pasireikštų:</w:t>
      </w:r>
    </w:p>
    <w:p w:rsidR="000710B8" w:rsidRDefault="000710B8" w:rsidP="000710B8">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pilvo skausmas, anoreksija, pykinimas, vėmimas, karščiavimas, bendras negalavimas, nuovargis, gelta, šlapimo patamsėjimas, pilkšvos arba vaško spalvos išmatos arba niežėjimas.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nevartotinas sergant kraujo pigmentų metabolizmo liga – </w:t>
      </w:r>
      <w:proofErr w:type="spellStart"/>
      <w:r>
        <w:rPr>
          <w:rFonts w:ascii="Times New Roman" w:eastAsia="Times New Roman" w:hAnsi="Times New Roman" w:cs="Times New Roman"/>
          <w:lang w:eastAsia="lt-LT"/>
        </w:rPr>
        <w:t>porfirija</w:t>
      </w:r>
      <w:proofErr w:type="spellEnd"/>
      <w:r>
        <w:rPr>
          <w:rFonts w:ascii="Times New Roman" w:eastAsia="Times New Roman" w:hAnsi="Times New Roman" w:cs="Times New Roman"/>
          <w:lang w:eastAsia="lt-LT"/>
        </w:rPr>
        <w:t>.</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vartojantiems senyviems pacientams būtinos specialios atsargumo priemonės.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vartojamas ilgai (daugiau kaip 10 dienų), reikia stebėti kraujo ląstelių skaičių ir kepenų funkciją.</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Kiti vaistai ir </w:t>
      </w:r>
      <w:proofErr w:type="spellStart"/>
      <w:r>
        <w:rPr>
          <w:rFonts w:ascii="Times New Roman" w:eastAsia="Times New Roman" w:hAnsi="Times New Roman" w:cs="Times New Roman"/>
          <w:b/>
          <w:lang w:eastAsia="lt-LT"/>
        </w:rPr>
        <w:t>Efloran</w:t>
      </w:r>
      <w:proofErr w:type="spellEnd"/>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 arba vaistininkui.</w:t>
      </w: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gali sąveikauti su kai kuriais kitais vaistais, todėl gali sustiprėti ar susilpnėti jo arba kito vaisto poveikis. Prieš pradėdami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pasakykite gydytojui, jeigu vartojate:</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kraujo krešėjimą slopinančius vaistus – </w:t>
      </w:r>
      <w:proofErr w:type="spellStart"/>
      <w:r>
        <w:rPr>
          <w:rFonts w:ascii="Times New Roman" w:eastAsia="Times New Roman" w:hAnsi="Times New Roman" w:cs="Times New Roman"/>
          <w:lang w:eastAsia="lt-LT"/>
        </w:rPr>
        <w:t>varfariną</w:t>
      </w:r>
      <w:proofErr w:type="spellEnd"/>
      <w:r>
        <w:rPr>
          <w:rFonts w:ascii="Times New Roman" w:eastAsia="Times New Roman" w:hAnsi="Times New Roman" w:cs="Times New Roman"/>
          <w:lang w:eastAsia="lt-LT"/>
        </w:rPr>
        <w:t xml:space="preserve"> arba kitus antikoaguliantus;</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vaistus nuo piktybinių ligų – </w:t>
      </w:r>
      <w:proofErr w:type="spellStart"/>
      <w:r>
        <w:rPr>
          <w:rFonts w:ascii="Times New Roman" w:eastAsia="Times New Roman" w:hAnsi="Times New Roman" w:cs="Times New Roman"/>
          <w:lang w:eastAsia="lt-LT"/>
        </w:rPr>
        <w:t>fluorouracilą</w:t>
      </w:r>
      <w:proofErr w:type="spellEnd"/>
      <w:r>
        <w:rPr>
          <w:rFonts w:ascii="Times New Roman" w:eastAsia="Times New Roman" w:hAnsi="Times New Roman" w:cs="Times New Roman"/>
          <w:lang w:eastAsia="lt-LT"/>
        </w:rPr>
        <w:t>;</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vaistus nuo epilepsijos – </w:t>
      </w:r>
      <w:proofErr w:type="spellStart"/>
      <w:r>
        <w:rPr>
          <w:rFonts w:ascii="Times New Roman" w:eastAsia="Times New Roman" w:hAnsi="Times New Roman" w:cs="Times New Roman"/>
          <w:lang w:eastAsia="lt-LT"/>
        </w:rPr>
        <w:t>fenitoiną</w:t>
      </w:r>
      <w:proofErr w:type="spellEnd"/>
      <w:r>
        <w:rPr>
          <w:rFonts w:ascii="Times New Roman" w:eastAsia="Times New Roman" w:hAnsi="Times New Roman" w:cs="Times New Roman"/>
          <w:lang w:eastAsia="lt-LT"/>
        </w:rPr>
        <w:t xml:space="preserve"> arba barbitūratus;</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vaistai artritui ir kai kurioms odos ligoms gydyti (</w:t>
      </w:r>
      <w:proofErr w:type="spellStart"/>
      <w:r>
        <w:rPr>
          <w:rFonts w:ascii="Times New Roman" w:eastAsia="Times New Roman" w:hAnsi="Times New Roman" w:cs="Times New Roman"/>
          <w:lang w:eastAsia="lt-LT"/>
        </w:rPr>
        <w:t>ciklosporinas</w:t>
      </w:r>
      <w:proofErr w:type="spellEnd"/>
      <w:r>
        <w:rPr>
          <w:rFonts w:ascii="Times New Roman" w:eastAsia="Times New Roman" w:hAnsi="Times New Roman" w:cs="Times New Roman"/>
          <w:lang w:eastAsia="lt-LT"/>
        </w:rPr>
        <w:t>);</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vaistai nuo vėžio (5-fluoruracilas);</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hAnsi="Times New Roman"/>
        </w:rPr>
        <w:t>vaistai leukemijai gydyti (</w:t>
      </w:r>
      <w:proofErr w:type="spellStart"/>
      <w:r>
        <w:rPr>
          <w:rFonts w:ascii="Times New Roman" w:hAnsi="Times New Roman"/>
        </w:rPr>
        <w:t>busulfanas</w:t>
      </w:r>
      <w:proofErr w:type="spellEnd"/>
      <w:r>
        <w:rPr>
          <w:rFonts w:ascii="Times New Roman" w:hAnsi="Times New Roman"/>
        </w:rPr>
        <w:t>);</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vaistą nuo psichikos sutrikimų – litį;</w:t>
      </w:r>
    </w:p>
    <w:p w:rsidR="000710B8" w:rsidRDefault="000710B8" w:rsidP="000710B8">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vaistą nuo skrandžio opos – </w:t>
      </w:r>
      <w:proofErr w:type="spellStart"/>
      <w:r>
        <w:rPr>
          <w:rFonts w:ascii="Times New Roman" w:eastAsia="Times New Roman" w:hAnsi="Times New Roman" w:cs="Times New Roman"/>
          <w:lang w:eastAsia="lt-LT"/>
        </w:rPr>
        <w:t>cimetidiną</w:t>
      </w:r>
      <w:proofErr w:type="spellEnd"/>
      <w:r>
        <w:rPr>
          <w:rFonts w:ascii="Times New Roman" w:eastAsia="Times New Roman" w:hAnsi="Times New Roman" w:cs="Times New Roman"/>
          <w:lang w:eastAsia="lt-LT"/>
        </w:rPr>
        <w:t>.</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negalima vartoti kartu su vaistu nuo alkoholizmo – </w:t>
      </w:r>
      <w:proofErr w:type="spellStart"/>
      <w:r>
        <w:rPr>
          <w:rFonts w:ascii="Times New Roman" w:eastAsia="Times New Roman" w:hAnsi="Times New Roman" w:cs="Times New Roman"/>
          <w:lang w:eastAsia="lt-LT"/>
        </w:rPr>
        <w:t>disulfiramu</w:t>
      </w:r>
      <w:proofErr w:type="spellEnd"/>
      <w:r>
        <w:rPr>
          <w:rFonts w:ascii="Times New Roman" w:eastAsia="Times New Roman" w:hAnsi="Times New Roman" w:cs="Times New Roman"/>
          <w:lang w:eastAsia="lt-LT"/>
        </w:rPr>
        <w:t xml:space="preserve">, kadangi gali sutrikti psichika (ištikti ūminė psichozė). Baigus jo vartojimą,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negalima vartoti 2 savaites.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vartojimas su maistu, gėrimais ir alkoholiu</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ir paskui bent 3 dienas negalima gerti alkoholinių gėrimų, kadangi gali pasireikšti pykinimas, vėmimas, pilvo ir galvos skausmas (panaši į “</w:t>
      </w:r>
      <w:proofErr w:type="spellStart"/>
      <w:r>
        <w:rPr>
          <w:rFonts w:ascii="Times New Roman" w:eastAsia="Times New Roman" w:hAnsi="Times New Roman" w:cs="Times New Roman"/>
          <w:lang w:eastAsia="lt-LT"/>
        </w:rPr>
        <w:t>antabuso</w:t>
      </w:r>
      <w:proofErr w:type="spellEnd"/>
      <w:r>
        <w:rPr>
          <w:rFonts w:ascii="Times New Roman" w:eastAsia="Times New Roman" w:hAnsi="Times New Roman" w:cs="Times New Roman"/>
          <w:lang w:eastAsia="lt-LT"/>
        </w:rPr>
        <w:t>” sindromą reakcija).</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Nėštumas ir žindymo laikotarpis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Jeigu esate nėščia, žindote kūdikį, manote, kad galbūt esate nėščia arba planuojate pastoti, tai prieš vartodama šį vaistą pasitarkite su gydytoju arba vaistininku.</w:t>
      </w:r>
    </w:p>
    <w:p w:rsidR="000710B8" w:rsidRDefault="000710B8" w:rsidP="000710B8">
      <w:pPr>
        <w:widowControl w:val="0"/>
        <w:spacing w:after="0" w:line="240" w:lineRule="auto"/>
        <w:rPr>
          <w:rFonts w:ascii="Times New Roman" w:eastAsia="Times New Roman" w:hAnsi="Times New Roman" w:cs="Times New Roman"/>
          <w:iCs/>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Nėštumas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Pirmą nėštumo trimestrą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vartoti negalima, o antrą ir trečią trimestrą gydytojas gali jo skirti tik jei laukiamas gydomasis poveikis viršija galimą pavojų vaisiui.</w:t>
      </w:r>
    </w:p>
    <w:p w:rsidR="000710B8" w:rsidRDefault="000710B8" w:rsidP="000710B8">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pastoti galinti moteris,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6 mėnesius po paskutiniosios dozės pavartojimo.</w:t>
      </w:r>
    </w:p>
    <w:p w:rsidR="000710B8" w:rsidRDefault="000710B8" w:rsidP="000710B8">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vyras ir Jūsų partnerė moteris gali pastoti,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3 mėnesius po paskutiniosios dozės pavartojimo.</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Žindymas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Žindyvės, prieš pradėdamos vartoti bet kurį vaistą, turi pasitarti su gydytoju arba vaistininku.</w:t>
      </w: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išskiriama su motinos pienu, todėl žindymo laikotarpiu jo vartoti negalima.</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Vairavimas ir mechanizmų valdymas</w:t>
      </w: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Šis vaistas gali turėti įtakos gebėjimui vairuoti ir valdyti mechanizmus, ypač kartu vartojant alkoholinius gėrimus.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b/>
          <w:lang w:eastAsia="sl-SI"/>
        </w:rPr>
        <w:t>Efloran</w:t>
      </w:r>
      <w:proofErr w:type="spellEnd"/>
      <w:r>
        <w:rPr>
          <w:rFonts w:ascii="Times New Roman" w:eastAsia="Calibri" w:hAnsi="Times New Roman" w:cs="Times New Roman"/>
          <w:b/>
          <w:lang w:eastAsia="sl-SI"/>
        </w:rPr>
        <w:t xml:space="preserve"> sudėtyje yra laktozės ir natrio</w:t>
      </w:r>
    </w:p>
    <w:p w:rsidR="000710B8" w:rsidRDefault="000710B8" w:rsidP="000710B8">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Jeigu gydytojas Jums yra sakęs, kad netoleruojate kokių nors angliavandenių, kreipkitės į jį prieš pradėdami vartoti šį vaistinį preparatą.</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dozėje yra mažiau kaip 1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jis beveik neturi reikšmės.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lang w:eastAsia="lt-LT"/>
        </w:rPr>
        <w:tab/>
      </w:r>
      <w:r>
        <w:rPr>
          <w:rFonts w:ascii="Times New Roman" w:eastAsia="Times New Roman" w:hAnsi="Times New Roman" w:cs="Times New Roman"/>
          <w:b/>
          <w:lang w:eastAsia="lt-LT"/>
        </w:rPr>
        <w:t xml:space="preserve">Kaip vartoti </w:t>
      </w:r>
      <w:proofErr w:type="spellStart"/>
      <w:r>
        <w:rPr>
          <w:rFonts w:ascii="Times New Roman" w:eastAsia="Times New Roman" w:hAnsi="Times New Roman" w:cs="Times New Roman"/>
          <w:b/>
          <w:lang w:eastAsia="lt-LT"/>
        </w:rPr>
        <w:t>Efloran</w:t>
      </w:r>
      <w:proofErr w:type="spellEnd"/>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0710B8" w:rsidRDefault="000710B8" w:rsidP="000710B8">
      <w:pPr>
        <w:widowControl w:val="0"/>
        <w:spacing w:after="0" w:line="240" w:lineRule="auto"/>
        <w:outlineLvl w:val="0"/>
        <w:rPr>
          <w:rFonts w:ascii="Times New Roman" w:eastAsia="Times New Roman" w:hAnsi="Times New Roman" w:cs="Times New Roman"/>
          <w:b/>
          <w:lang w:eastAsia="lt-LT"/>
        </w:rPr>
      </w:pP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Dozavimas ir vartojimo metodas</w:t>
      </w: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Tiksliai vykdykite gydytojo nurodymus. Su juo nepasitarę, nekeiskite vaisto dozės ir nenutraukite jo vartojimo.</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Iš pradžių dažniausiai šio vaisto lašinama į veną. Kai tik galima, gydymas tęsiamas tabletėmis.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Anaerobinių bakterijų sukeltoms infekcinėms ligoms gydyti.</w:t>
      </w:r>
      <w:r>
        <w:rPr>
          <w:rFonts w:ascii="Times New Roman" w:eastAsia="Times New Roman" w:hAnsi="Times New Roman" w:cs="Times New Roman"/>
          <w:lang w:eastAsia="lt-LT"/>
        </w:rPr>
        <w:t xml:space="preserve">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Suaugusiesiems gerti po 1 tabletę (400 mg) 3 kartus per parą 7 dienas, prireikus (atsižvelgiant į infekcinės ligos rūšį) ilgiau.</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Clostridium</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difficile</w:t>
      </w:r>
      <w:proofErr w:type="spellEnd"/>
      <w:r>
        <w:rPr>
          <w:rFonts w:ascii="Times New Roman" w:eastAsia="Times New Roman" w:hAnsi="Times New Roman" w:cs="Times New Roman"/>
          <w:i/>
          <w:lang w:eastAsia="lt-LT"/>
        </w:rPr>
        <w:t xml:space="preserve"> sukeltam </w:t>
      </w:r>
      <w:proofErr w:type="spellStart"/>
      <w:r>
        <w:rPr>
          <w:rFonts w:ascii="Times New Roman" w:eastAsia="Times New Roman" w:hAnsi="Times New Roman" w:cs="Times New Roman"/>
          <w:i/>
          <w:lang w:eastAsia="lt-LT"/>
        </w:rPr>
        <w:t>enterokolitui</w:t>
      </w:r>
      <w:proofErr w:type="spellEnd"/>
      <w:r>
        <w:rPr>
          <w:rFonts w:ascii="Times New Roman" w:eastAsia="Times New Roman" w:hAnsi="Times New Roman" w:cs="Times New Roman"/>
          <w:i/>
          <w:lang w:eastAsia="lt-LT"/>
        </w:rPr>
        <w:t xml:space="preserve"> gydyti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Gerti po 1 tabletę (400 mg) 3 kartus per parą 10 dienų.</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Bakterinei </w:t>
      </w:r>
      <w:proofErr w:type="spellStart"/>
      <w:r>
        <w:rPr>
          <w:rFonts w:ascii="Times New Roman" w:eastAsia="Times New Roman" w:hAnsi="Times New Roman" w:cs="Times New Roman"/>
          <w:i/>
          <w:lang w:eastAsia="lt-LT"/>
        </w:rPr>
        <w:t>vaginozei</w:t>
      </w:r>
      <w:proofErr w:type="spellEnd"/>
      <w:r>
        <w:rPr>
          <w:rFonts w:ascii="Times New Roman" w:eastAsia="Times New Roman" w:hAnsi="Times New Roman" w:cs="Times New Roman"/>
          <w:i/>
          <w:lang w:eastAsia="lt-LT"/>
        </w:rPr>
        <w:t xml:space="preserve"> gydyti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Geriama viena 2 g dozė arba po 1 tabletę (400 mg) 2 kartus per parą 7 dienas. Partnerio kartu gydyti nebūtina.</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Bakterijoms </w:t>
      </w:r>
      <w:proofErr w:type="spellStart"/>
      <w:r>
        <w:rPr>
          <w:rFonts w:ascii="Times New Roman" w:eastAsia="Times New Roman" w:hAnsi="Times New Roman" w:cs="Times New Roman"/>
          <w:i/>
          <w:lang w:eastAsia="lt-LT"/>
        </w:rPr>
        <w:t>Helicobacter</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pylori</w:t>
      </w:r>
      <w:proofErr w:type="spellEnd"/>
      <w:r>
        <w:rPr>
          <w:rFonts w:ascii="Times New Roman" w:eastAsia="Times New Roman" w:hAnsi="Times New Roman" w:cs="Times New Roman"/>
          <w:i/>
          <w:lang w:eastAsia="lt-LT"/>
        </w:rPr>
        <w:t xml:space="preserve"> sunaikinti</w:t>
      </w:r>
      <w:r>
        <w:rPr>
          <w:rFonts w:ascii="Times New Roman" w:eastAsia="Times New Roman" w:hAnsi="Times New Roman" w:cs="Times New Roman"/>
          <w:lang w:eastAsia="lt-LT"/>
        </w:rPr>
        <w:t xml:space="preserve">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Geriama po 1 tabletę (400 mg) 2 kartus per parą 7 dienas kartu su kitais gydytojo nurodytais vaistais.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Trichomonozei gydyti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Geriama 2 g (5 tabletės iš karto arba 2 tabletės rytą ir 3 tabletės vakare). Kartu būtina gydyti partnerį.</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lang w:eastAsia="lt-LT"/>
        </w:rPr>
        <w:t>Lambliozei</w:t>
      </w:r>
      <w:proofErr w:type="spellEnd"/>
      <w:r>
        <w:rPr>
          <w:rFonts w:ascii="Times New Roman" w:eastAsia="Times New Roman" w:hAnsi="Times New Roman" w:cs="Times New Roman"/>
          <w:i/>
          <w:lang w:eastAsia="lt-LT"/>
        </w:rPr>
        <w:t xml:space="preserve"> gydyti suaugusiesiems</w:t>
      </w:r>
      <w:r>
        <w:rPr>
          <w:rFonts w:ascii="Times New Roman" w:eastAsia="Times New Roman" w:hAnsi="Times New Roman" w:cs="Times New Roman"/>
          <w:lang w:eastAsia="lt-LT"/>
        </w:rPr>
        <w:t xml:space="preserve">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Gerti po 1 tabletę (400 mg) 2 kartus per parą 5 dienas.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lastRenderedPageBreak/>
        <w:t>Amebiazei</w:t>
      </w:r>
      <w:proofErr w:type="spellEnd"/>
      <w:r>
        <w:rPr>
          <w:rFonts w:ascii="Times New Roman" w:eastAsia="Times New Roman" w:hAnsi="Times New Roman" w:cs="Times New Roman"/>
          <w:i/>
          <w:lang w:eastAsia="lt-LT"/>
        </w:rPr>
        <w:t xml:space="preserve"> gydyti</w:t>
      </w:r>
    </w:p>
    <w:p w:rsidR="000710B8" w:rsidRDefault="000710B8" w:rsidP="000710B8">
      <w:pPr>
        <w:pStyle w:val="Sraopastraipa"/>
        <w:widowControl w:val="0"/>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Žarninėms </w:t>
      </w:r>
      <w:proofErr w:type="spellStart"/>
      <w:r>
        <w:rPr>
          <w:rFonts w:ascii="Times New Roman" w:eastAsia="Times New Roman" w:hAnsi="Times New Roman" w:cs="Times New Roman"/>
          <w:i/>
          <w:lang w:eastAsia="lt-LT"/>
        </w:rPr>
        <w:t>amebiazės</w:t>
      </w:r>
      <w:proofErr w:type="spellEnd"/>
      <w:r>
        <w:rPr>
          <w:rFonts w:ascii="Times New Roman" w:eastAsia="Times New Roman" w:hAnsi="Times New Roman" w:cs="Times New Roman"/>
          <w:i/>
          <w:lang w:eastAsia="lt-LT"/>
        </w:rPr>
        <w:t xml:space="preserve"> formoms gydyti suaugusiesiems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Gerti po 2 tabletes (800 mg) kas 8 val. 5 dienas. </w:t>
      </w:r>
    </w:p>
    <w:p w:rsidR="000710B8" w:rsidRDefault="000710B8" w:rsidP="000710B8">
      <w:pPr>
        <w:pStyle w:val="Sraopastraipa"/>
        <w:widowControl w:val="0"/>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Kepenų </w:t>
      </w:r>
      <w:proofErr w:type="spellStart"/>
      <w:r>
        <w:rPr>
          <w:rFonts w:ascii="Times New Roman" w:eastAsia="Times New Roman" w:hAnsi="Times New Roman" w:cs="Times New Roman"/>
          <w:i/>
          <w:lang w:eastAsia="lt-LT"/>
        </w:rPr>
        <w:t>abscesui</w:t>
      </w:r>
      <w:proofErr w:type="spellEnd"/>
      <w:r>
        <w:rPr>
          <w:rFonts w:ascii="Times New Roman" w:eastAsia="Times New Roman" w:hAnsi="Times New Roman" w:cs="Times New Roman"/>
          <w:i/>
          <w:lang w:eastAsia="lt-LT"/>
        </w:rPr>
        <w:t xml:space="preserve"> ir kitoms nežarninėms </w:t>
      </w:r>
      <w:proofErr w:type="spellStart"/>
      <w:r>
        <w:rPr>
          <w:rFonts w:ascii="Times New Roman" w:eastAsia="Times New Roman" w:hAnsi="Times New Roman" w:cs="Times New Roman"/>
          <w:i/>
          <w:lang w:eastAsia="lt-LT"/>
        </w:rPr>
        <w:t>amebiazės</w:t>
      </w:r>
      <w:proofErr w:type="spellEnd"/>
      <w:r>
        <w:rPr>
          <w:rFonts w:ascii="Times New Roman" w:eastAsia="Times New Roman" w:hAnsi="Times New Roman" w:cs="Times New Roman"/>
          <w:i/>
          <w:lang w:eastAsia="lt-LT"/>
        </w:rPr>
        <w:t xml:space="preserve"> formoms</w:t>
      </w:r>
      <w:r>
        <w:rPr>
          <w:rFonts w:ascii="Times New Roman" w:eastAsia="Times New Roman" w:hAnsi="Times New Roman" w:cs="Times New Roman"/>
          <w:lang w:eastAsia="lt-LT"/>
        </w:rPr>
        <w:t xml:space="preserve"> </w:t>
      </w:r>
      <w:r>
        <w:rPr>
          <w:rFonts w:ascii="Times New Roman" w:eastAsia="Times New Roman" w:hAnsi="Times New Roman" w:cs="Times New Roman"/>
          <w:i/>
          <w:lang w:eastAsia="lt-LT"/>
        </w:rPr>
        <w:t>gydyti</w:t>
      </w:r>
      <w:r>
        <w:rPr>
          <w:rFonts w:ascii="Times New Roman" w:eastAsia="Times New Roman" w:hAnsi="Times New Roman" w:cs="Times New Roman"/>
          <w:lang w:eastAsia="lt-LT"/>
        </w:rPr>
        <w:t xml:space="preserve"> </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vartojama tokiomis pat dozėmis 7-10 dienų.</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Opiniam dantenų uždegimui gydyti</w:t>
      </w:r>
      <w:r>
        <w:rPr>
          <w:rFonts w:ascii="Times New Roman" w:eastAsia="Times New Roman" w:hAnsi="Times New Roman" w:cs="Times New Roman"/>
          <w:lang w:eastAsia="lt-LT"/>
        </w:rPr>
        <w:t xml:space="preserve"> </w:t>
      </w:r>
      <w:r>
        <w:rPr>
          <w:rFonts w:ascii="Times New Roman" w:eastAsia="Times New Roman" w:hAnsi="Times New Roman" w:cs="Times New Roman"/>
          <w:i/>
          <w:lang w:eastAsia="lt-LT"/>
        </w:rPr>
        <w:t>suaugusiems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Gerti po pusę tabletės (200 mg) 3 kartus per parą 3-5 dienas.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manote, kad vaistas veikia per stipriai arba per silpnai, pasakykite gydytojui arba vaistininkui.</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Vartojimas vaikams ir paaugliams</w:t>
      </w: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Anaerobinių bakterijų sukeltoms infekcinėms ligoms gydyti</w:t>
      </w:r>
    </w:p>
    <w:p w:rsidR="000710B8" w:rsidRDefault="000710B8" w:rsidP="000710B8">
      <w:pPr>
        <w:widowControl w:val="0"/>
        <w:spacing w:after="0" w:line="240" w:lineRule="auto"/>
        <w:rPr>
          <w:rFonts w:ascii="Times New Roman" w:eastAsia="Times New Roman" w:hAnsi="Times New Roman" w:cs="Times New Roman"/>
          <w:i/>
          <w:lang w:eastAsia="lt-LT"/>
        </w:rPr>
      </w:pPr>
    </w:p>
    <w:p w:rsidR="000710B8" w:rsidRDefault="000710B8" w:rsidP="000710B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p>
    <w:p w:rsidR="000710B8" w:rsidRDefault="000710B8" w:rsidP="000710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rsidR="000710B8" w:rsidRDefault="000710B8" w:rsidP="000710B8">
      <w:pPr>
        <w:spacing w:after="0" w:line="240" w:lineRule="auto"/>
        <w:rPr>
          <w:rFonts w:ascii="Times New Roman" w:eastAsia="Times New Roman" w:hAnsi="Times New Roman" w:cs="Times New Roman"/>
          <w:lang w:eastAsia="lt-LT"/>
        </w:rPr>
      </w:pPr>
    </w:p>
    <w:p w:rsidR="000710B8" w:rsidRDefault="000710B8" w:rsidP="000710B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w:t>
      </w:r>
    </w:p>
    <w:p w:rsidR="000710B8" w:rsidRDefault="000710B8" w:rsidP="000710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rsidR="000710B8" w:rsidRDefault="000710B8" w:rsidP="000710B8">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rsidR="000710B8" w:rsidRDefault="000710B8" w:rsidP="000710B8">
      <w:pPr>
        <w:spacing w:after="0" w:line="240" w:lineRule="auto"/>
        <w:jc w:val="both"/>
        <w:rPr>
          <w:rFonts w:ascii="Times New Roman" w:eastAsia="Times New Roman" w:hAnsi="Times New Roman" w:cs="Times New Roman"/>
          <w:i/>
          <w:lang w:eastAsia="lt-LT"/>
        </w:rPr>
      </w:pPr>
    </w:p>
    <w:p w:rsidR="000710B8" w:rsidRDefault="000710B8" w:rsidP="000710B8">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Šlapimo ir lyties organų trichomonozė</w:t>
      </w:r>
    </w:p>
    <w:p w:rsidR="000710B8" w:rsidRDefault="000710B8" w:rsidP="000710B8">
      <w:pPr>
        <w:spacing w:after="0" w:line="240" w:lineRule="auto"/>
        <w:jc w:val="both"/>
        <w:rPr>
          <w:rFonts w:ascii="Times New Roman" w:eastAsia="Times New Roman" w:hAnsi="Times New Roman" w:cs="Times New Roman"/>
          <w:i/>
        </w:rPr>
      </w:pPr>
    </w:p>
    <w:p w:rsidR="000710B8" w:rsidRDefault="000710B8" w:rsidP="000710B8">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Suaugusiems ir paaugliams</w:t>
      </w:r>
    </w:p>
    <w:p w:rsidR="000710B8" w:rsidRDefault="000710B8" w:rsidP="000710B8">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Rreikia</w:t>
      </w:r>
      <w:proofErr w:type="spellEnd"/>
      <w:r>
        <w:rPr>
          <w:rFonts w:ascii="Times New Roman" w:eastAsia="Times New Roman" w:hAnsi="Times New Roman" w:cs="Times New Roman"/>
        </w:rPr>
        <w:t xml:space="preserve"> gerti 2000 mg vienkartinę dozę iš karto arba po 200 mg 3 kartus per parą 7 paras arba po 400 mg 2 kartus per parą 5 – 7 paras.</w:t>
      </w:r>
    </w:p>
    <w:p w:rsidR="000710B8" w:rsidRDefault="000710B8" w:rsidP="000710B8">
      <w:pPr>
        <w:spacing w:after="0" w:line="240" w:lineRule="auto"/>
        <w:jc w:val="both"/>
        <w:rPr>
          <w:rFonts w:ascii="Times New Roman" w:eastAsia="Times New Roman" w:hAnsi="Times New Roman" w:cs="Times New Roman"/>
        </w:rPr>
      </w:pPr>
    </w:p>
    <w:p w:rsidR="000710B8" w:rsidRDefault="000710B8" w:rsidP="000710B8">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Jaunesniems kaip 10</w:t>
      </w:r>
      <w:r>
        <w:rPr>
          <w:rFonts w:ascii="Times New Roman" w:eastAsia="Times New Roman" w:hAnsi="Times New Roman" w:cs="Times New Roman"/>
          <w:lang w:eastAsia="lt-LT"/>
        </w:rPr>
        <w:t> </w:t>
      </w:r>
      <w:r>
        <w:rPr>
          <w:rFonts w:ascii="Times New Roman" w:eastAsia="Times New Roman" w:hAnsi="Times New Roman" w:cs="Times New Roman"/>
          <w:i/>
        </w:rPr>
        <w:t xml:space="preserve">metų </w:t>
      </w:r>
      <w:proofErr w:type="spellStart"/>
      <w:r>
        <w:rPr>
          <w:rFonts w:ascii="Times New Roman" w:eastAsia="Times New Roman" w:hAnsi="Times New Roman" w:cs="Times New Roman"/>
          <w:i/>
        </w:rPr>
        <w:t>vaikam</w:t>
      </w:r>
      <w:proofErr w:type="spellEnd"/>
    </w:p>
    <w:p w:rsidR="000710B8" w:rsidRDefault="000710B8" w:rsidP="000710B8">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Reikia išgerti 40 mg/kg kūno svorio dozę iš karto, arba 7 paras gerti 15 – 30 mg/kg kūno svorio per parą, šią dozę padalijus į 2-3 vienkartines dozes. Negalima viršyti 2000 mg vienkartinės dozės.</w:t>
      </w:r>
    </w:p>
    <w:p w:rsidR="000710B8" w:rsidRDefault="000710B8" w:rsidP="000710B8">
      <w:pPr>
        <w:spacing w:after="0" w:line="240" w:lineRule="auto"/>
        <w:rPr>
          <w:rFonts w:ascii="Times New Roman" w:eastAsia="Times New Roman" w:hAnsi="Times New Roman" w:cs="Times New Roman"/>
          <w:iCs/>
          <w:u w:val="single"/>
        </w:rPr>
      </w:pPr>
    </w:p>
    <w:p w:rsidR="000710B8" w:rsidRDefault="000710B8" w:rsidP="000710B8">
      <w:pPr>
        <w:spacing w:after="0" w:line="240" w:lineRule="auto"/>
        <w:rPr>
          <w:rFonts w:ascii="Times New Roman" w:eastAsia="Times New Roman" w:hAnsi="Times New Roman" w:cs="Times New Roman"/>
          <w:i/>
          <w:iCs/>
        </w:rPr>
      </w:pPr>
      <w:proofErr w:type="spellStart"/>
      <w:r>
        <w:rPr>
          <w:rFonts w:ascii="Times New Roman" w:eastAsia="Times New Roman" w:hAnsi="Times New Roman" w:cs="Times New Roman"/>
          <w:i/>
          <w:iCs/>
        </w:rPr>
        <w:t>Giardiazė</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Lambliozė</w:t>
      </w:r>
      <w:proofErr w:type="spellEnd"/>
      <w:r>
        <w:rPr>
          <w:rFonts w:ascii="Times New Roman" w:eastAsia="Times New Roman" w:hAnsi="Times New Roman" w:cs="Times New Roman"/>
          <w:i/>
          <w:iCs/>
        </w:rPr>
        <w:t>)</w:t>
      </w:r>
    </w:p>
    <w:p w:rsidR="000710B8" w:rsidRDefault="000710B8" w:rsidP="000710B8">
      <w:pPr>
        <w:spacing w:after="0" w:line="240" w:lineRule="auto"/>
        <w:rPr>
          <w:rFonts w:ascii="Times New Roman" w:eastAsia="Times New Roman" w:hAnsi="Times New Roman" w:cs="Times New Roman"/>
          <w:i/>
          <w:iCs/>
        </w:rPr>
      </w:pPr>
    </w:p>
    <w:p w:rsidR="000710B8" w:rsidRDefault="000710B8" w:rsidP="000710B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Vaikams</w:t>
      </w:r>
      <w:r>
        <w:rPr>
          <w:rFonts w:ascii="Times New Roman" w:eastAsia="Times New Roman" w:hAnsi="Times New Roman" w:cs="Times New Roman"/>
        </w:rPr>
        <w:t xml:space="preserve"> gali būti skiriama paros dozė nuo 15 iki 40 mg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 kg kūno svorio, padalijant į 2-3 dalis.</w:t>
      </w:r>
    </w:p>
    <w:p w:rsidR="000710B8" w:rsidRDefault="000710B8" w:rsidP="000710B8">
      <w:pPr>
        <w:widowControl w:val="0"/>
        <w:spacing w:after="0" w:line="240" w:lineRule="auto"/>
        <w:rPr>
          <w:rFonts w:ascii="Times New Roman" w:eastAsia="Times New Roman" w:hAnsi="Times New Roman" w:cs="Times New Roman"/>
        </w:rPr>
      </w:pPr>
    </w:p>
    <w:p w:rsidR="000710B8" w:rsidRDefault="000710B8" w:rsidP="000710B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Vyresniems negu 10</w:t>
      </w:r>
      <w:r>
        <w:rPr>
          <w:rFonts w:ascii="Times New Roman" w:eastAsia="Times New Roman" w:hAnsi="Times New Roman" w:cs="Times New Roman"/>
          <w:lang w:eastAsia="lt-LT"/>
        </w:rPr>
        <w:t> </w:t>
      </w:r>
      <w:r>
        <w:rPr>
          <w:rFonts w:ascii="Times New Roman" w:eastAsia="Times New Roman" w:hAnsi="Times New Roman" w:cs="Times New Roman"/>
          <w:i/>
        </w:rPr>
        <w:t>metų</w:t>
      </w:r>
      <w:r>
        <w:rPr>
          <w:rFonts w:ascii="Times New Roman" w:eastAsia="Times New Roman" w:hAnsi="Times New Roman" w:cs="Times New Roman"/>
        </w:rPr>
        <w:t>: 2000 mg vieną kartą per parą 3 dienas arba 400 mg tris kartus per parą 5 dienas arba 500 mg du kartus per parą 7–10 dienų.</w:t>
      </w:r>
    </w:p>
    <w:p w:rsidR="000710B8" w:rsidRDefault="000710B8" w:rsidP="000710B8">
      <w:pPr>
        <w:widowControl w:val="0"/>
        <w:spacing w:after="0" w:line="240" w:lineRule="auto"/>
        <w:rPr>
          <w:rFonts w:ascii="Times New Roman" w:eastAsia="Times New Roman" w:hAnsi="Times New Roman" w:cs="Times New Roman"/>
        </w:rPr>
      </w:pPr>
    </w:p>
    <w:p w:rsidR="000710B8" w:rsidRDefault="000710B8" w:rsidP="000710B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7 - 10</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1000 mg vieną kartą per parą 3 dienas.</w:t>
      </w:r>
    </w:p>
    <w:p w:rsidR="000710B8" w:rsidRDefault="000710B8" w:rsidP="000710B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3 - 7</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nuo 600 iki 800 mg vieną kartą per parą 3 dienas.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1 - 3</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500 mg vieną kartą per parą 3 dienas.</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Amebiazė</w:t>
      </w:r>
      <w:proofErr w:type="spellEnd"/>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&gt;</w:t>
      </w:r>
      <w:r>
        <w:rPr>
          <w:rFonts w:ascii="Times New Roman" w:eastAsia="Times New Roman" w:hAnsi="Times New Roman" w:cs="Times New Roman"/>
          <w:lang w:eastAsia="lt-LT"/>
        </w:rPr>
        <w:t> </w:t>
      </w:r>
      <w:r>
        <w:rPr>
          <w:rFonts w:ascii="Times New Roman" w:eastAsia="Times New Roman" w:hAnsi="Times New Roman" w:cs="Times New Roman"/>
          <w:i/>
          <w:lang w:eastAsia="lt-LT"/>
        </w:rPr>
        <w:t>10</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w:t>
      </w:r>
      <w:r>
        <w:rPr>
          <w:rFonts w:ascii="Times New Roman" w:eastAsia="Times New Roman" w:hAnsi="Times New Roman" w:cs="Times New Roman"/>
          <w:lang w:eastAsia="lt-LT"/>
        </w:rPr>
        <w:t>: nuo 400 iki 800 mg 3 kartus per dieną 5-10 dienų.</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7 - 10</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200 iki 400 mg 3 kartus per dieną 5-10 dienų.</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3 - 7</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100 iki 200 mg 4 kartus per dieną 5-10 dienų.</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1 - 3</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100 iki 200 mg 3 kartus per dieną 5-10 dienų.</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taip pat gali būti skiriama nuo 35 iki 50 mg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/kg kūno svorio 3 dalimis dozėmis 5-10 dienų, neviršijant 2400 mg per parą.</w:t>
      </w:r>
    </w:p>
    <w:p w:rsidR="000710B8" w:rsidRDefault="000710B8" w:rsidP="000710B8">
      <w:pPr>
        <w:spacing w:after="0" w:line="240" w:lineRule="auto"/>
        <w:jc w:val="both"/>
        <w:rPr>
          <w:rFonts w:ascii="Times New Roman" w:eastAsia="Times New Roman" w:hAnsi="Times New Roman" w:cs="Times New Roman"/>
          <w:i/>
          <w:u w:val="single"/>
        </w:rPr>
      </w:pPr>
    </w:p>
    <w:p w:rsidR="000710B8" w:rsidRDefault="000710B8" w:rsidP="000710B8">
      <w:pPr>
        <w:spacing w:after="0" w:line="240" w:lineRule="auto"/>
        <w:jc w:val="both"/>
        <w:rPr>
          <w:rFonts w:ascii="Times New Roman" w:eastAsia="Times New Roman" w:hAnsi="Times New Roman" w:cs="Times New Roman"/>
          <w:i/>
        </w:rPr>
      </w:pPr>
      <w:proofErr w:type="spellStart"/>
      <w:r>
        <w:rPr>
          <w:rFonts w:ascii="Times New Roman" w:eastAsia="Times New Roman" w:hAnsi="Times New Roman" w:cs="Times New Roman"/>
          <w:i/>
        </w:rPr>
        <w:lastRenderedPageBreak/>
        <w:t>Helicobacter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i/>
        </w:rPr>
        <w:t xml:space="preserve"> išnaikinimas vaikams</w:t>
      </w:r>
    </w:p>
    <w:p w:rsidR="000710B8" w:rsidRDefault="000710B8" w:rsidP="000710B8">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rPr>
        <w:t xml:space="preserve">Kaip sudedamoji kombinuotojo gydymo dalis, 20 mg/kg kūno svorio, neviršijant 500 mg du kartus per parą 7 – 14 parų. </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Inkstų funkcijos sutrikimas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kurių inkstų funkcija sutrikusi, dozės keisti nereikia.</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atliekama inkstų dializė, šį vaistą turite vartoti po gydymo dialize.</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Sunkus kepenų funkcijos sutrikimas</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kuriems yra sunkus kepenų funkcijos sutrikimas, dozę reikia mažinti stebint kraujo serumo tyrimus.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Ką daryti pavartojus per didelę </w:t>
      </w: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dozę</w:t>
      </w:r>
    </w:p>
    <w:p w:rsidR="000710B8" w:rsidRDefault="000710B8" w:rsidP="000710B8">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Išgėrus per didelę vaisto dozę, reikia pasikonsultuoti su gydytoju.</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Išgėrus per didelę šio vaisto dozę, dažniausiai pasireiškia pykinimas ir vėmimas, sukasi galva, sunkesniais atvejais taip pat sutrinka judesių koordinacija (pasireiškia </w:t>
      </w:r>
      <w:proofErr w:type="spellStart"/>
      <w:r>
        <w:rPr>
          <w:rFonts w:ascii="Times New Roman" w:eastAsia="Times New Roman" w:hAnsi="Times New Roman" w:cs="Times New Roman"/>
          <w:lang w:eastAsia="lt-LT"/>
        </w:rPr>
        <w:t>ataksija</w:t>
      </w:r>
      <w:proofErr w:type="spellEnd"/>
      <w:r>
        <w:rPr>
          <w:rFonts w:ascii="Times New Roman" w:eastAsia="Times New Roman" w:hAnsi="Times New Roman" w:cs="Times New Roman"/>
          <w:lang w:eastAsia="lt-LT"/>
        </w:rPr>
        <w:t>), atsiranda nejautra, dilgčiojimas (</w:t>
      </w:r>
      <w:proofErr w:type="spellStart"/>
      <w:r>
        <w:rPr>
          <w:rFonts w:ascii="Times New Roman" w:eastAsia="Times New Roman" w:hAnsi="Times New Roman" w:cs="Times New Roman"/>
          <w:lang w:eastAsia="lt-LT"/>
        </w:rPr>
        <w:t>parestezija</w:t>
      </w:r>
      <w:proofErr w:type="spellEnd"/>
      <w:r>
        <w:rPr>
          <w:rFonts w:ascii="Times New Roman" w:eastAsia="Times New Roman" w:hAnsi="Times New Roman" w:cs="Times New Roman"/>
          <w:lang w:eastAsia="lt-LT"/>
        </w:rPr>
        <w:t>), prasideda traukuliai.</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dozę ir vartojimo trukmę parinks gydytojas. Pastebėję perdozavimo požymių arba įtarę, kad vartojate per didelę dozę, pasikonsultuokite su gydytoju, kuris imsis reikiamų priemonių arba atitinkamai sumažins dozę.</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Pamiršus pavartoti </w:t>
      </w:r>
      <w:proofErr w:type="spellStart"/>
      <w:r>
        <w:rPr>
          <w:rFonts w:ascii="Times New Roman" w:eastAsia="Times New Roman" w:hAnsi="Times New Roman" w:cs="Times New Roman"/>
          <w:b/>
          <w:lang w:eastAsia="lt-LT"/>
        </w:rPr>
        <w:t>Efloran</w:t>
      </w:r>
      <w:proofErr w:type="spellEnd"/>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Negalima vartoti dvigubos dozės norint kompensuoti praleistą dozę.</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Nustojus vartoti </w:t>
      </w:r>
      <w:proofErr w:type="spellStart"/>
      <w:r>
        <w:rPr>
          <w:rFonts w:ascii="Times New Roman" w:eastAsia="Times New Roman" w:hAnsi="Times New Roman" w:cs="Times New Roman"/>
          <w:b/>
          <w:lang w:eastAsia="lt-LT"/>
        </w:rPr>
        <w:t>Efloran</w:t>
      </w:r>
      <w:proofErr w:type="spellEnd"/>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Nutraukti šio vaisto vartojimą nepasitarus su gydytoju gali būti pavojinga. Net pasijutus geriau, infekcija dar gali būti organizme ir atsinaujinti per anksti baigus gydymą.</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vaistininką.</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lang w:eastAsia="lt-LT"/>
        </w:rPr>
        <w:tab/>
      </w:r>
      <w:r>
        <w:rPr>
          <w:rFonts w:ascii="Times New Roman" w:eastAsia="Times New Roman" w:hAnsi="Times New Roman" w:cs="Times New Roman"/>
          <w:b/>
          <w:lang w:eastAsia="lt-LT"/>
        </w:rPr>
        <w:t>Galimas šalutinis poveikis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Nustokite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ir nedelsiant kreipkitės į gydytoją ar vykite į ligoninę jeigu:</w:t>
      </w:r>
    </w:p>
    <w:p w:rsidR="000710B8" w:rsidRDefault="000710B8" w:rsidP="000710B8">
      <w:pPr>
        <w:pStyle w:val="Sraopastraipa"/>
        <w:widowControl w:val="0"/>
        <w:numPr>
          <w:ilvl w:val="0"/>
          <w:numId w:val="10"/>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Jums pasireiškia rankų, kojų, kulkšnių, veido, lūpų ar gerklės patinimas, dėl kurio gali būti sunku ryti ar kvėpuoti. Taip pat galėjote pastebėti </w:t>
      </w:r>
      <w:proofErr w:type="spellStart"/>
      <w:r>
        <w:rPr>
          <w:rFonts w:ascii="Times New Roman" w:eastAsia="Times New Roman" w:hAnsi="Times New Roman" w:cs="Times New Roman"/>
          <w:lang w:eastAsia="lt-LT"/>
        </w:rPr>
        <w:t>niežtinį</w:t>
      </w:r>
      <w:proofErr w:type="spellEnd"/>
      <w:r>
        <w:rPr>
          <w:rFonts w:ascii="Times New Roman" w:eastAsia="Times New Roman" w:hAnsi="Times New Roman" w:cs="Times New Roman"/>
          <w:lang w:eastAsia="lt-LT"/>
        </w:rPr>
        <w:t xml:space="preserve">, pūlingą išbėrimą (dilgėlinę). Tai gali reikšti, kad jaučiate alerginę reakciją į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w:t>
      </w:r>
    </w:p>
    <w:p w:rsidR="000710B8" w:rsidRDefault="000710B8" w:rsidP="000710B8">
      <w:pPr>
        <w:pStyle w:val="Sraopastraipa"/>
        <w:widowControl w:val="0"/>
        <w:numPr>
          <w:ilvl w:val="0"/>
          <w:numId w:val="10"/>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Sunkus, bet labai retas šalutinis poveikis yra smegenų liga (</w:t>
      </w:r>
      <w:proofErr w:type="spellStart"/>
      <w:r>
        <w:rPr>
          <w:rFonts w:ascii="Times New Roman" w:eastAsia="Times New Roman" w:hAnsi="Times New Roman" w:cs="Times New Roman"/>
          <w:lang w:eastAsia="lt-LT"/>
        </w:rPr>
        <w:t>encefalopatija</w:t>
      </w:r>
      <w:proofErr w:type="spellEnd"/>
      <w:r>
        <w:rPr>
          <w:rFonts w:ascii="Times New Roman" w:eastAsia="Times New Roman" w:hAnsi="Times New Roman" w:cs="Times New Roman"/>
          <w:lang w:eastAsia="lt-LT"/>
        </w:rPr>
        <w:t>). Simptomai būna įvairūs, tačiau galite karščiuoti, jausti kaklo sustingimą, skaudėti galvą, matyti ar girdėti dalykų, kurių nėra. Taip pat gali kilti problemų judinant rankas ar kojas, kalbėjimo problemų ar galite sumišti.</w:t>
      </w:r>
    </w:p>
    <w:p w:rsidR="000710B8" w:rsidRDefault="000710B8" w:rsidP="000710B8">
      <w:pPr>
        <w:pStyle w:val="Sraopastraipa"/>
        <w:widowControl w:val="0"/>
        <w:numPr>
          <w:ilvl w:val="0"/>
          <w:numId w:val="10"/>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Jums atsirastų odos išbėrimų, įskaitant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sindromą</w:t>
      </w:r>
      <w:r>
        <w:rPr>
          <w:rFonts w:ascii="Times New Roman" w:eastAsia="Times New Roman" w:hAnsi="Times New Roman" w:cs="Times New Roman"/>
          <w:lang w:eastAsia="lt-LT"/>
        </w:rPr>
        <w:t xml:space="preserve"> ar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Jie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w:t>
      </w:r>
      <w:r>
        <w:rPr>
          <w:rFonts w:ascii="Times New Roman" w:eastAsia="Times New Roman" w:hAnsi="Times New Roman" w:cs="Times New Roman"/>
          <w:lang w:eastAsia="lt-LT"/>
        </w:rPr>
        <w:t xml:space="preserve"> dažnai būna lydimi karščiavimo ir (arba) į gripą panašių simptomų. Nustokite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jei atsiranda šie simptomai, ir nedelsdami kreipkitės į gydytoją arba nedelsdami kreipkitės į gydytoją. Taip pat žiūrėkite 2 skyrių.</w:t>
      </w:r>
    </w:p>
    <w:p w:rsidR="000710B8" w:rsidRDefault="000710B8" w:rsidP="000710B8">
      <w:pPr>
        <w:pStyle w:val="Sraopastraipa"/>
        <w:widowControl w:val="0"/>
        <w:numPr>
          <w:ilvl w:val="0"/>
          <w:numId w:val="10"/>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Pradėjus gydymą, atsiranda raudonas, žvynuotas, platus išbėrimas su </w:t>
      </w:r>
      <w:proofErr w:type="spellStart"/>
      <w:r>
        <w:rPr>
          <w:rFonts w:ascii="Times New Roman" w:eastAsia="Times New Roman" w:hAnsi="Times New Roman" w:cs="Times New Roman"/>
          <w:lang w:eastAsia="lt-LT"/>
        </w:rPr>
        <w:t>iškilimais</w:t>
      </w:r>
      <w:proofErr w:type="spellEnd"/>
      <w:r>
        <w:rPr>
          <w:rFonts w:ascii="Times New Roman" w:eastAsia="Times New Roman" w:hAnsi="Times New Roman" w:cs="Times New Roman"/>
          <w:lang w:eastAsia="lt-LT"/>
        </w:rPr>
        <w:t xml:space="preserve"> po oda ir pūslelėmis, kartu su karščiavimu (ūminė </w:t>
      </w:r>
      <w:proofErr w:type="spellStart"/>
      <w:r>
        <w:rPr>
          <w:rFonts w:ascii="Times New Roman" w:eastAsia="Times New Roman" w:hAnsi="Times New Roman" w:cs="Times New Roman"/>
          <w:lang w:eastAsia="lt-LT"/>
        </w:rPr>
        <w:t>generalizuota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 xml:space="preserve">). Nustokite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jei atsiranda šie simptomai, ir nedelsdami kreipkitės į gydytoją arba nedelsdami kreipkitės į gydytoją. Taip pat žiūrėkite 2 skyrių.</w:t>
      </w:r>
    </w:p>
    <w:p w:rsidR="000710B8" w:rsidRDefault="000710B8" w:rsidP="000710B8">
      <w:pPr>
        <w:pStyle w:val="Sraopastraipa"/>
        <w:widowControl w:val="0"/>
        <w:spacing w:after="0" w:line="240" w:lineRule="auto"/>
        <w:ind w:left="567"/>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Nedelsdami kreipkitės į gydytoją, jei pastebėjote šį šalutinį poveikį.</w:t>
      </w:r>
    </w:p>
    <w:p w:rsidR="000710B8" w:rsidRDefault="000710B8" w:rsidP="000710B8">
      <w:pPr>
        <w:pStyle w:val="Sraopastraipa"/>
        <w:widowControl w:val="0"/>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Odos ir akių pageltimas. Tai gali atsirasti dėl kepenų </w:t>
      </w:r>
      <w:proofErr w:type="spellStart"/>
      <w:r>
        <w:rPr>
          <w:rFonts w:ascii="Times New Roman" w:eastAsia="Times New Roman" w:hAnsi="Times New Roman" w:cs="Times New Roman"/>
          <w:lang w:eastAsia="lt-LT"/>
        </w:rPr>
        <w:t>pažeidių</w:t>
      </w:r>
      <w:proofErr w:type="spellEnd"/>
      <w:r>
        <w:rPr>
          <w:rFonts w:ascii="Times New Roman" w:eastAsia="Times New Roman" w:hAnsi="Times New Roman" w:cs="Times New Roman"/>
          <w:lang w:eastAsia="lt-LT"/>
        </w:rPr>
        <w:t xml:space="preserve"> (gelta).</w:t>
      </w:r>
    </w:p>
    <w:p w:rsidR="000710B8" w:rsidRDefault="000710B8" w:rsidP="000710B8">
      <w:pPr>
        <w:pStyle w:val="Sraopastraipa"/>
        <w:widowControl w:val="0"/>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Netikėtos infekcijos, burnos opos, kraujosruvos, kraujuojančios dantenos ar didelis nuovargis. Tai gali sukelti kraujo problemos.</w:t>
      </w:r>
    </w:p>
    <w:p w:rsidR="000710B8" w:rsidRDefault="000710B8" w:rsidP="000710B8">
      <w:pPr>
        <w:pStyle w:val="Sraopastraipa"/>
        <w:widowControl w:val="0"/>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Stiprus skrandžio skausmas, plintantis į jūsų nugarą (pankreatitas).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Nedelsdami kreipkitės į gydytoją, jei pastebėjote bet kurį iš šių šalutinių poveikių.</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sl-SI"/>
        </w:rPr>
        <w:t>Reti šalutinio poveikio reiškiniai (gali pasireikšti rečiau kaip 1 iš 1 000 asmenų)</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Pykinimas, pilvo skausmas, metalo skonio pojūtis, anoreksija, burnos kandidamikozė, vėmimas, viduriavimas, burnos džiūvimo pojūtis.</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Pankreatitas.</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Traukuliai, dezorientacija, </w:t>
      </w:r>
      <w:proofErr w:type="spellStart"/>
      <w:r>
        <w:rPr>
          <w:rFonts w:ascii="Times New Roman" w:eastAsia="Times New Roman" w:hAnsi="Times New Roman" w:cs="Times New Roman"/>
          <w:lang w:eastAsia="lt-LT"/>
        </w:rPr>
        <w:t>ažitacija</w:t>
      </w:r>
      <w:proofErr w:type="spellEnd"/>
      <w:r>
        <w:rPr>
          <w:rFonts w:ascii="Times New Roman" w:eastAsia="Times New Roman" w:hAnsi="Times New Roman" w:cs="Times New Roman"/>
          <w:lang w:eastAsia="lt-LT"/>
        </w:rPr>
        <w:t xml:space="preserve">, galvos sukimasis, </w:t>
      </w:r>
      <w:proofErr w:type="spellStart"/>
      <w:r>
        <w:rPr>
          <w:rFonts w:ascii="Times New Roman" w:eastAsia="Times New Roman" w:hAnsi="Times New Roman" w:cs="Times New Roman"/>
          <w:lang w:eastAsia="lt-LT"/>
        </w:rPr>
        <w:t>ataksija</w:t>
      </w:r>
      <w:proofErr w:type="spellEnd"/>
      <w:r>
        <w:rPr>
          <w:rFonts w:ascii="Times New Roman" w:eastAsia="Times New Roman" w:hAnsi="Times New Roman" w:cs="Times New Roman"/>
          <w:lang w:eastAsia="lt-LT"/>
        </w:rPr>
        <w:t>, galvos skausmas, galvos svaigimas, tirpimas, dilgčiojimas, skausmas ar silpnumo jausmas rankose ar kojose.</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Tamsus ar raudonai rudas šlapimas, makšties kandidamikozė</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Tromboflebitas</w:t>
      </w:r>
      <w:proofErr w:type="spellEnd"/>
      <w:r>
        <w:rPr>
          <w:rFonts w:ascii="Times New Roman" w:eastAsia="Times New Roman" w:hAnsi="Times New Roman" w:cs="Times New Roman"/>
          <w:lang w:eastAsia="lt-LT"/>
        </w:rPr>
        <w:t>.</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Herxheimerio</w:t>
      </w:r>
      <w:proofErr w:type="spellEnd"/>
      <w:r>
        <w:rPr>
          <w:rFonts w:ascii="Times New Roman" w:eastAsia="Times New Roman" w:hAnsi="Times New Roman" w:cs="Times New Roman"/>
          <w:lang w:eastAsia="lt-LT"/>
        </w:rPr>
        <w:t xml:space="preserve"> reakcija.</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Elektrokardiogramos pokyčiai.</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i/>
          <w:lang w:eastAsia="lt-LT"/>
        </w:rPr>
      </w:pPr>
      <w:proofErr w:type="spellStart"/>
      <w:r>
        <w:rPr>
          <w:rFonts w:ascii="Times New Roman" w:eastAsia="Times New Roman" w:hAnsi="Times New Roman" w:cs="Times New Roman"/>
          <w:lang w:eastAsia="lt-LT"/>
        </w:rPr>
        <w:t>Ginekomastija</w:t>
      </w:r>
      <w:proofErr w:type="spellEnd"/>
      <w:r>
        <w:rPr>
          <w:rFonts w:ascii="Times New Roman" w:eastAsia="Times New Roman" w:hAnsi="Times New Roman" w:cs="Times New Roman"/>
          <w:lang w:eastAsia="lt-LT"/>
        </w:rPr>
        <w:t>.</w:t>
      </w:r>
    </w:p>
    <w:p w:rsidR="000710B8" w:rsidRDefault="000710B8" w:rsidP="000710B8">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Kūno temperatūros padidėjimas.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rsidR="000710B8" w:rsidRDefault="000710B8" w:rsidP="000710B8">
      <w:pPr>
        <w:pStyle w:val="Sraopastraipa"/>
        <w:widowControl w:val="0"/>
        <w:numPr>
          <w:ilvl w:val="0"/>
          <w:numId w:val="11"/>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Psichinės problemos, tokios kaip sumišimas ir nematomų dalykų matymas ar girdėjimas (haliucinacijos).</w:t>
      </w:r>
    </w:p>
    <w:p w:rsidR="000710B8" w:rsidRDefault="000710B8" w:rsidP="000710B8">
      <w:pPr>
        <w:pStyle w:val="Sraopastraipa"/>
        <w:widowControl w:val="0"/>
        <w:numPr>
          <w:ilvl w:val="0"/>
          <w:numId w:val="11"/>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Regėjimo problemos, tokios kaip neryškus regėjimas ar regėjimo dvejinimasis.</w:t>
      </w:r>
    </w:p>
    <w:p w:rsidR="000710B8" w:rsidRDefault="000710B8" w:rsidP="000710B8">
      <w:pPr>
        <w:pStyle w:val="Sraopastraipa"/>
        <w:widowControl w:val="0"/>
        <w:numPr>
          <w:ilvl w:val="0"/>
          <w:numId w:val="11"/>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Odos išbėrimas ar pleiskanojimas.</w:t>
      </w:r>
    </w:p>
    <w:p w:rsidR="000710B8" w:rsidRDefault="000710B8" w:rsidP="000710B8">
      <w:pPr>
        <w:pStyle w:val="Sraopastraipa"/>
        <w:widowControl w:val="0"/>
        <w:numPr>
          <w:ilvl w:val="0"/>
          <w:numId w:val="11"/>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Raumenų ar sąnarių skausmai.</w:t>
      </w:r>
    </w:p>
    <w:p w:rsidR="000710B8" w:rsidRDefault="000710B8" w:rsidP="000710B8">
      <w:pPr>
        <w:pStyle w:val="Sraopastraipa"/>
        <w:widowControl w:val="0"/>
        <w:numPr>
          <w:ilvl w:val="0"/>
          <w:numId w:val="11"/>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Kepenų sutrikimas, įskaitant gyvybei pavojingą kepenų nepakankamumą (kepenų ląstelių pažeidimas).</w:t>
      </w:r>
    </w:p>
    <w:p w:rsidR="000710B8" w:rsidRDefault="000710B8" w:rsidP="000710B8">
      <w:pPr>
        <w:pStyle w:val="Sraopastraipa"/>
        <w:widowControl w:val="0"/>
        <w:numPr>
          <w:ilvl w:val="0"/>
          <w:numId w:val="11"/>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 xml:space="preserve">Kepenų fermentų (AST, ALT, šarminės </w:t>
      </w:r>
      <w:proofErr w:type="spellStart"/>
      <w:r>
        <w:rPr>
          <w:rFonts w:ascii="Times New Roman" w:eastAsia="Times New Roman" w:hAnsi="Times New Roman" w:cs="Times New Roman"/>
          <w:iCs/>
          <w:color w:val="000000"/>
          <w:lang w:eastAsia="sl-SI"/>
        </w:rPr>
        <w:t>fosfatazės</w:t>
      </w:r>
      <w:proofErr w:type="spellEnd"/>
      <w:r>
        <w:rPr>
          <w:rFonts w:ascii="Times New Roman" w:eastAsia="Times New Roman" w:hAnsi="Times New Roman" w:cs="Times New Roman"/>
          <w:iCs/>
          <w:color w:val="000000"/>
          <w:lang w:eastAsia="sl-SI"/>
        </w:rPr>
        <w:t>) aktyvumo padidėjimas.</w:t>
      </w:r>
    </w:p>
    <w:p w:rsidR="000710B8" w:rsidRDefault="000710B8" w:rsidP="000710B8">
      <w:pPr>
        <w:pStyle w:val="Sraopastraipa"/>
        <w:widowControl w:val="0"/>
        <w:autoSpaceDE w:val="0"/>
        <w:autoSpaceDN w:val="0"/>
        <w:adjustRightInd w:val="0"/>
        <w:spacing w:after="0" w:line="240" w:lineRule="auto"/>
        <w:rPr>
          <w:rFonts w:ascii="Times New Roman" w:eastAsia="Times New Roman" w:hAnsi="Times New Roman" w:cs="Times New Roman"/>
          <w:iCs/>
          <w:color w:val="000000"/>
          <w:lang w:eastAsia="sl-SI"/>
        </w:rPr>
      </w:pPr>
    </w:p>
    <w:p w:rsidR="000710B8" w:rsidRDefault="000710B8" w:rsidP="000710B8">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bookmarkStart w:id="0" w:name="_Hlk89260958"/>
      <w:r>
        <w:rPr>
          <w:rFonts w:ascii="Times New Roman" w:eastAsia="Times New Roman" w:hAnsi="Times New Roman" w:cs="Times New Roman"/>
          <w:i/>
          <w:iCs/>
          <w:color w:val="000000"/>
          <w:lang w:eastAsia="sl-SI"/>
        </w:rPr>
        <w:t xml:space="preserve">Šalutinio poveikio reiškiniai, kurių </w:t>
      </w:r>
      <w:bookmarkEnd w:id="0"/>
      <w:r>
        <w:rPr>
          <w:rFonts w:ascii="Times New Roman" w:eastAsia="Times New Roman" w:hAnsi="Times New Roman" w:cs="Times New Roman"/>
          <w:i/>
          <w:iCs/>
          <w:color w:val="000000"/>
          <w:lang w:eastAsia="sl-SI"/>
        </w:rPr>
        <w:t>dažnis nežinomas (negali būti apskaičiuotas pagal turimus duomenis)</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Priepuoliai (traukuliai).</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Leukocitų (baltųjų kraujo kūnelių) kiekio sumažėjimas.</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Depresinė nuotaika.</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Akių skausmas (optinis neuritas).</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Klausos sutrikimas/klausos praradimas.</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Skambėjimas ausyse (spengimas ausyse).</w:t>
      </w:r>
    </w:p>
    <w:p w:rsidR="000710B8" w:rsidRDefault="000710B8" w:rsidP="000710B8">
      <w:pPr>
        <w:pStyle w:val="Sraopastraipa"/>
        <w:widowControl w:val="0"/>
        <w:numPr>
          <w:ilvl w:val="0"/>
          <w:numId w:val="1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ar odos spalvos pasikeitimas su iškilusiomis vietomis ar be jų, kurios dažnai kartojasi toje pačioje vietoje kiekvieną kartą vartojant vaistą.</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Ūminis kepenų nepakankamumas pacientams, sergantiems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(žr. 2 skyrių „Įspėjimai ir atsargumo priemonės“). </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pStyle w:val="Sraopastraipa"/>
        <w:widowControl w:val="0"/>
        <w:spacing w:after="0" w:line="240" w:lineRule="auto"/>
        <w:ind w:left="0"/>
        <w:rPr>
          <w:rFonts w:ascii="Times New Roman" w:eastAsia="Times New Roman" w:hAnsi="Times New Roman" w:cs="Times New Roman"/>
          <w:lang w:eastAsia="lt-LT"/>
        </w:rPr>
      </w:pPr>
      <w:r>
        <w:rPr>
          <w:rFonts w:ascii="Times New Roman" w:eastAsia="Times New Roman" w:hAnsi="Times New Roman" w:cs="Times New Roman"/>
          <w:lang w:eastAsia="lt-LT"/>
        </w:rPr>
        <w:t>Jeigu Jums pasireiškė sunkus šalutinis poveikis arba pastebėjote šiame lapelyje nenurodytą šalutinį poveikį, pasakykite gydytojui arba vaistininkui.</w:t>
      </w:r>
    </w:p>
    <w:p w:rsidR="000710B8" w:rsidRDefault="000710B8" w:rsidP="000710B8">
      <w:pPr>
        <w:pStyle w:val="Sraopastraipa"/>
        <w:widowControl w:val="0"/>
        <w:spacing w:after="0" w:line="240" w:lineRule="auto"/>
        <w:ind w:left="0"/>
        <w:rPr>
          <w:rFonts w:ascii="Times New Roman" w:eastAsia="Times New Roman" w:hAnsi="Times New Roman" w:cs="Times New Roman"/>
          <w:lang w:eastAsia="lt-LT"/>
        </w:rPr>
      </w:pPr>
    </w:p>
    <w:p w:rsidR="000710B8" w:rsidRDefault="000710B8" w:rsidP="000710B8">
      <w:pPr>
        <w:widowControl w:val="0"/>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noProof/>
          <w:snapToGrid w:val="0"/>
          <w:lang w:eastAsia="sl-SI"/>
        </w:rPr>
        <w:t>Pranešimas apie šalutinį poveikį</w:t>
      </w:r>
    </w:p>
    <w:p w:rsidR="000710B8" w:rsidRDefault="000710B8" w:rsidP="000710B8">
      <w:pPr>
        <w:tabs>
          <w:tab w:val="left" w:pos="567"/>
        </w:tabs>
        <w:spacing w:after="0" w:line="260" w:lineRule="exact"/>
        <w:ind w:right="-1"/>
        <w:rPr>
          <w:rFonts w:ascii="Times New Roman" w:eastAsia="Times New Roman" w:hAnsi="Times New Roman" w:cs="Times New Roman"/>
          <w:szCs w:val="20"/>
        </w:rPr>
      </w:pPr>
      <w:bookmarkStart w:id="1" w:name="_Hlk192750056"/>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w:t>
      </w:r>
      <w:r>
        <w:rPr>
          <w:rFonts w:ascii="Times New Roman" w:eastAsia="Times New Roman" w:hAnsi="Times New Roman" w:cs="Times New Roman"/>
          <w:lang w:eastAsia="lt-LT"/>
        </w:rPr>
        <w:lastRenderedPageBreak/>
        <w:t>Pranešdami apie šalutinį poveikį galite mums padėti gauti daugiau informacijos apie šio vaisto saugumą</w:t>
      </w:r>
      <w:r>
        <w:rPr>
          <w:rFonts w:ascii="Times New Roman" w:eastAsia="Times New Roman" w:hAnsi="Times New Roman" w:cs="Times New Roman"/>
          <w:szCs w:val="20"/>
        </w:rPr>
        <w:t>.</w:t>
      </w:r>
      <w:bookmarkEnd w:id="2"/>
    </w:p>
    <w:bookmarkEnd w:id="1"/>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5.</w:t>
      </w:r>
      <w:r>
        <w:rPr>
          <w:rFonts w:ascii="Times New Roman" w:eastAsia="Times New Roman" w:hAnsi="Times New Roman" w:cs="Times New Roman"/>
          <w:b/>
          <w:iCs/>
          <w:lang w:eastAsia="lt-LT"/>
        </w:rPr>
        <w:tab/>
        <w:t xml:space="preserve">Kaip laikyti </w:t>
      </w:r>
      <w:proofErr w:type="spellStart"/>
      <w:r>
        <w:rPr>
          <w:rFonts w:ascii="Times New Roman" w:eastAsia="Times New Roman" w:hAnsi="Times New Roman" w:cs="Times New Roman"/>
          <w:b/>
          <w:iCs/>
          <w:lang w:eastAsia="lt-LT"/>
        </w:rPr>
        <w:t>Efloran</w:t>
      </w:r>
      <w:proofErr w:type="spellEnd"/>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Ant pakuotės ir tablečių </w:t>
      </w:r>
      <w:proofErr w:type="spellStart"/>
      <w:r>
        <w:rPr>
          <w:rFonts w:ascii="Times New Roman" w:eastAsia="Times New Roman" w:hAnsi="Times New Roman" w:cs="Times New Roman"/>
          <w:lang w:eastAsia="lt-LT"/>
        </w:rPr>
        <w:t>talpyklės</w:t>
      </w:r>
      <w:proofErr w:type="spellEnd"/>
      <w:r>
        <w:rPr>
          <w:rFonts w:ascii="Times New Roman" w:eastAsia="Times New Roman" w:hAnsi="Times New Roman" w:cs="Times New Roman"/>
          <w:lang w:eastAsia="lt-LT"/>
        </w:rPr>
        <w:t xml:space="preserve"> po </w:t>
      </w:r>
      <w:r>
        <w:rPr>
          <w:rFonts w:ascii="Times New Roman" w:eastAsia="Times New Roman" w:hAnsi="Times New Roman" w:cs="Times New Roman"/>
          <w:highlight w:val="lightGray"/>
          <w:lang w:eastAsia="lt-LT"/>
        </w:rPr>
        <w:t>„Tinka iki“/</w:t>
      </w:r>
      <w:r>
        <w:rPr>
          <w:rFonts w:ascii="Times New Roman" w:eastAsia="Times New Roman" w:hAnsi="Times New Roman" w:cs="Times New Roman"/>
          <w:lang w:eastAsia="lt-LT"/>
        </w:rPr>
        <w:t>„EXP“ nurodytam tinkamumo laikui pasibaigus, šio vaisto vartoti negalima. Vaistas tinkamas vartoti iki paskutinės nurodyto mėnesio dienos.</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Vaistų negalima išmesti į kanalizaciją arba su buitinėmis atliekomis. Kaip išmesti nereikalingus vaistus, klauskite vaistininko. Šios priemonės padės apsaugoti aplinką.</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w:t>
      </w:r>
      <w:r>
        <w:rPr>
          <w:rFonts w:ascii="Times New Roman" w:eastAsia="Times New Roman" w:hAnsi="Times New Roman" w:cs="Times New Roman"/>
          <w:b/>
          <w:iCs/>
          <w:lang w:eastAsia="lt-LT"/>
        </w:rPr>
        <w:tab/>
        <w:t>Pakuotės turinys ir kita informacija</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sudėtis</w:t>
      </w:r>
    </w:p>
    <w:p w:rsidR="000710B8" w:rsidRDefault="000710B8" w:rsidP="000710B8">
      <w:pPr>
        <w:widowControl w:val="0"/>
        <w:numPr>
          <w:ilvl w:val="0"/>
          <w:numId w:val="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Vienoje tabletėje yra 400 mg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w:t>
      </w:r>
    </w:p>
    <w:p w:rsidR="000710B8" w:rsidRDefault="000710B8" w:rsidP="000710B8">
      <w:pPr>
        <w:widowControl w:val="0"/>
        <w:numPr>
          <w:ilvl w:val="0"/>
          <w:numId w:val="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Pagalbinės medžiagos yra laktozė </w:t>
      </w:r>
      <w:proofErr w:type="spellStart"/>
      <w:r>
        <w:rPr>
          <w:rFonts w:ascii="Times New Roman" w:eastAsia="Times New Roman" w:hAnsi="Times New Roman" w:cs="Times New Roman"/>
          <w:lang w:eastAsia="lt-LT"/>
        </w:rPr>
        <w:t>monohidratas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mikrokristalinė</w:t>
      </w:r>
      <w:proofErr w:type="spellEnd"/>
      <w:r>
        <w:rPr>
          <w:rFonts w:ascii="Times New Roman" w:eastAsia="Times New Roman" w:hAnsi="Times New Roman" w:cs="Times New Roman"/>
          <w:lang w:eastAsia="lt-LT"/>
        </w:rPr>
        <w:t xml:space="preserve"> celiuliozė, kukurūzų krakmolas, </w:t>
      </w:r>
      <w:proofErr w:type="spellStart"/>
      <w:r>
        <w:rPr>
          <w:rFonts w:ascii="Times New Roman" w:eastAsia="Times New Roman" w:hAnsi="Times New Roman" w:cs="Times New Roman"/>
          <w:lang w:eastAsia="lt-LT"/>
        </w:rPr>
        <w:t>povidonas</w:t>
      </w:r>
      <w:proofErr w:type="spellEnd"/>
      <w:r>
        <w:rPr>
          <w:rFonts w:ascii="Times New Roman" w:eastAsia="Times New Roman" w:hAnsi="Times New Roman" w:cs="Times New Roman"/>
          <w:lang w:eastAsia="lt-LT"/>
        </w:rPr>
        <w:t xml:space="preserve">, magnio </w:t>
      </w:r>
      <w:proofErr w:type="spellStart"/>
      <w:r>
        <w:rPr>
          <w:rFonts w:ascii="Times New Roman" w:eastAsia="Times New Roman" w:hAnsi="Times New Roman" w:cs="Times New Roman"/>
          <w:lang w:eastAsia="lt-LT"/>
        </w:rPr>
        <w:t>stearatas</w:t>
      </w:r>
      <w:proofErr w:type="spellEnd"/>
      <w:r>
        <w:rPr>
          <w:rFonts w:ascii="Times New Roman" w:eastAsia="Times New Roman" w:hAnsi="Times New Roman" w:cs="Times New Roman"/>
          <w:lang w:eastAsia="lt-LT"/>
        </w:rPr>
        <w:t xml:space="preserve">, talkas, </w:t>
      </w:r>
      <w:proofErr w:type="spellStart"/>
      <w:r>
        <w:rPr>
          <w:rFonts w:ascii="Times New Roman" w:eastAsia="Times New Roman" w:hAnsi="Times New Roman" w:cs="Times New Roman"/>
          <w:lang w:eastAsia="lt-LT"/>
        </w:rPr>
        <w:t>karboksimetilkrakmolo</w:t>
      </w:r>
      <w:proofErr w:type="spellEnd"/>
      <w:r>
        <w:rPr>
          <w:rFonts w:ascii="Times New Roman" w:eastAsia="Times New Roman" w:hAnsi="Times New Roman" w:cs="Times New Roman"/>
          <w:lang w:eastAsia="lt-LT"/>
        </w:rPr>
        <w:t xml:space="preserve"> A natrio druska. </w:t>
      </w:r>
      <w:r>
        <w:rPr>
          <w:rFonts w:ascii="Times New Roman" w:eastAsia="Times New Roman" w:hAnsi="Times New Roman"/>
          <w:lang w:val="sl-SI" w:eastAsia="lt-LT"/>
        </w:rPr>
        <w:t>Žr. 2 skyrių „Efloran sudėtyje yra laktozės ir natrio“.</w:t>
      </w:r>
    </w:p>
    <w:p w:rsidR="000710B8" w:rsidRDefault="000710B8" w:rsidP="000710B8">
      <w:pPr>
        <w:widowControl w:val="0"/>
        <w:spacing w:after="0" w:line="240" w:lineRule="auto"/>
        <w:rPr>
          <w:rFonts w:ascii="Times New Roman" w:eastAsia="Times New Roman" w:hAnsi="Times New Roman" w:cs="Times New Roman"/>
          <w:b/>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išvaizda ir kiekis pakuotėje</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Tabletės yra nuo baltos iki gelsvos spalvos, apvalios, truputį išgaubtos, su vagele vienoje pusėje. Vagelė skirta tabletę padalyti į lygias dozes.</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Tabletės tiekiamos tablečių </w:t>
      </w:r>
      <w:proofErr w:type="spellStart"/>
      <w:r>
        <w:rPr>
          <w:rFonts w:ascii="Times New Roman" w:eastAsia="Times New Roman" w:hAnsi="Times New Roman" w:cs="Times New Roman"/>
          <w:lang w:eastAsia="lt-LT"/>
        </w:rPr>
        <w:t>talpyklė</w:t>
      </w:r>
      <w:proofErr w:type="spellEnd"/>
      <w:r>
        <w:rPr>
          <w:rFonts w:ascii="Times New Roman" w:eastAsia="Times New Roman" w:hAnsi="Times New Roman" w:cs="Times New Roman"/>
          <w:lang w:eastAsia="lt-LT"/>
        </w:rPr>
        <w:t xml:space="preserve"> po 10 tablečių.</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 ir gamintojas</w:t>
      </w: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KRKA, </w:t>
      </w:r>
      <w:proofErr w:type="spellStart"/>
      <w:r>
        <w:rPr>
          <w:rFonts w:ascii="Times New Roman" w:eastAsia="Times New Roman" w:hAnsi="Times New Roman" w:cs="Times New Roman"/>
          <w:lang w:eastAsia="lt-LT"/>
        </w:rPr>
        <w:t>d.d</w:t>
      </w:r>
      <w:proofErr w:type="spellEnd"/>
      <w:r>
        <w:rPr>
          <w:rFonts w:ascii="Times New Roman" w:eastAsia="Times New Roman" w:hAnsi="Times New Roman" w:cs="Times New Roman"/>
          <w:lang w:eastAsia="lt-LT"/>
        </w:rPr>
        <w:t xml:space="preserve">., Novo mesto, </w:t>
      </w:r>
      <w:proofErr w:type="spellStart"/>
      <w:r>
        <w:rPr>
          <w:rFonts w:ascii="Times New Roman" w:eastAsia="Times New Roman" w:hAnsi="Times New Roman" w:cs="Times New Roman"/>
          <w:lang w:eastAsia="lt-LT"/>
        </w:rPr>
        <w:t>Šmarješka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cesta</w:t>
      </w:r>
      <w:proofErr w:type="spellEnd"/>
      <w:r>
        <w:rPr>
          <w:rFonts w:ascii="Times New Roman" w:eastAsia="Times New Roman" w:hAnsi="Times New Roman" w:cs="Times New Roman"/>
          <w:lang w:eastAsia="lt-LT"/>
        </w:rPr>
        <w:t xml:space="preserve"> 6</w:t>
      </w: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8501 Novo mesto,</w:t>
      </w:r>
    </w:p>
    <w:p w:rsidR="000710B8" w:rsidRDefault="000710B8" w:rsidP="000710B8">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Slovėnija</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apie šį vaistą norite sužinoti daugiau, kreipkitės į vietinį registruotojo atstovą.</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KRKA LIETUVA</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Senasis Ukmergės kelias 4,</w:t>
      </w:r>
    </w:p>
    <w:p w:rsidR="000710B8" w:rsidRDefault="000710B8" w:rsidP="000710B8">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Užubalių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km.,Vilniaus</w:t>
      </w:r>
      <w:proofErr w:type="spellEnd"/>
      <w:r>
        <w:rPr>
          <w:rFonts w:ascii="Times New Roman" w:eastAsia="Times New Roman" w:hAnsi="Times New Roman" w:cs="Times New Roman"/>
          <w:lang w:eastAsia="lt-LT"/>
        </w:rPr>
        <w:t xml:space="preserve"> r.</w:t>
      </w: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 - 14013</w:t>
      </w:r>
    </w:p>
    <w:tbl>
      <w:tblPr>
        <w:tblW w:w="0" w:type="auto"/>
        <w:tblLayout w:type="fixed"/>
        <w:tblLook w:val="00A0" w:firstRow="1" w:lastRow="0" w:firstColumn="1" w:lastColumn="0" w:noHBand="0" w:noVBand="0"/>
      </w:tblPr>
      <w:tblGrid>
        <w:gridCol w:w="4678"/>
      </w:tblGrid>
      <w:tr w:rsidR="000710B8" w:rsidTr="00BF361D">
        <w:tc>
          <w:tcPr>
            <w:tcW w:w="4678" w:type="dxa"/>
            <w:hideMark/>
          </w:tcPr>
          <w:p w:rsidR="000710B8" w:rsidRDefault="000710B8" w:rsidP="00BF361D">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Tel. + 370 5 236 27 40</w:t>
            </w:r>
          </w:p>
        </w:tc>
      </w:tr>
    </w:tbl>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Šis pakuotės lapelis paskutinį kartą peržiūrėtas 2025-05-2</w:t>
      </w:r>
      <w:r w:rsidR="00786034">
        <w:rPr>
          <w:rFonts w:ascii="Times New Roman" w:eastAsia="Times New Roman" w:hAnsi="Times New Roman" w:cs="Times New Roman"/>
          <w:b/>
          <w:lang w:eastAsia="lt-LT"/>
        </w:rPr>
        <w:t>9</w:t>
      </w:r>
      <w:r>
        <w:rPr>
          <w:rFonts w:ascii="Times New Roman" w:eastAsia="Times New Roman" w:hAnsi="Times New Roman" w:cs="Times New Roman"/>
          <w:b/>
          <w:lang w:eastAsia="lt-LT"/>
        </w:rPr>
        <w:t>.</w:t>
      </w:r>
    </w:p>
    <w:p w:rsidR="000710B8" w:rsidRDefault="000710B8" w:rsidP="000710B8">
      <w:pPr>
        <w:widowControl w:val="0"/>
        <w:spacing w:after="0" w:line="240" w:lineRule="auto"/>
        <w:rPr>
          <w:rFonts w:ascii="Times New Roman" w:eastAsia="Times New Roman" w:hAnsi="Times New Roman" w:cs="Times New Roman"/>
          <w:lang w:eastAsia="lt-LT"/>
        </w:rPr>
      </w:pPr>
    </w:p>
    <w:p w:rsidR="000710B8" w:rsidRDefault="000710B8" w:rsidP="000710B8">
      <w:pPr>
        <w:widowControl w:val="0"/>
        <w:spacing w:after="0" w:line="240" w:lineRule="auto"/>
        <w:rPr>
          <w:rFonts w:ascii="Times New Roman" w:eastAsia="Times New Roman" w:hAnsi="Times New Roman" w:cs="Times New Roman"/>
          <w:color w:val="0000FF"/>
          <w:u w:val="single"/>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bookmarkStart w:id="3" w:name="_Hlk192750083"/>
      <w:r>
        <w:rPr>
          <w:rFonts w:ascii="Times New Roman" w:eastAsia="Times New Roman" w:hAnsi="Times New Roman" w:cs="Times New Roman"/>
          <w:color w:val="0000EE"/>
          <w:u w:val="single"/>
          <w:lang w:eastAsia="lt-LT"/>
        </w:rPr>
        <w:t>https://vvkt.lrv.lt/lt/.</w:t>
      </w:r>
      <w:bookmarkEnd w:id="3"/>
    </w:p>
    <w:p w:rsidR="000710B8" w:rsidRDefault="000710B8" w:rsidP="000710B8">
      <w:pPr>
        <w:widowControl w:val="0"/>
        <w:spacing w:after="0" w:line="240" w:lineRule="auto"/>
        <w:rPr>
          <w:rFonts w:ascii="Times New Roman" w:hAnsi="Times New Roman"/>
          <w:color w:val="0000FF"/>
          <w:u w:val="single"/>
        </w:rPr>
      </w:pPr>
    </w:p>
    <w:p w:rsidR="00BA6577" w:rsidRDefault="00BA6577">
      <w:bookmarkStart w:id="4" w:name="_GoBack"/>
      <w:bookmarkEnd w:id="4"/>
    </w:p>
    <w:sectPr w:rsidR="00BA65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6034">
      <w:pPr>
        <w:spacing w:after="0" w:line="240" w:lineRule="auto"/>
      </w:pPr>
      <w:r>
        <w:separator/>
      </w:r>
    </w:p>
  </w:endnote>
  <w:endnote w:type="continuationSeparator" w:id="0">
    <w:p w:rsidR="00000000" w:rsidRDefault="0078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0E" w:rsidRDefault="007860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0E" w:rsidRDefault="0078603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0E" w:rsidRDefault="00786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6034">
      <w:pPr>
        <w:spacing w:after="0" w:line="240" w:lineRule="auto"/>
      </w:pPr>
      <w:r>
        <w:separator/>
      </w:r>
    </w:p>
  </w:footnote>
  <w:footnote w:type="continuationSeparator" w:id="0">
    <w:p w:rsidR="00000000" w:rsidRDefault="0078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0E" w:rsidRDefault="007860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0E" w:rsidRDefault="0078603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0E" w:rsidRDefault="007860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B4F"/>
    <w:multiLevelType w:val="hybridMultilevel"/>
    <w:tmpl w:val="077EE6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45757"/>
    <w:multiLevelType w:val="hybridMultilevel"/>
    <w:tmpl w:val="F042CA4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867FD"/>
    <w:multiLevelType w:val="hybridMultilevel"/>
    <w:tmpl w:val="D1D2260A"/>
    <w:lvl w:ilvl="0" w:tplc="53AEC7A6">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64940"/>
    <w:multiLevelType w:val="hybridMultilevel"/>
    <w:tmpl w:val="CBF2B8EA"/>
    <w:lvl w:ilvl="0" w:tplc="D450914A">
      <w:start w:val="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85F0B99"/>
    <w:multiLevelType w:val="hybridMultilevel"/>
    <w:tmpl w:val="54EC402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FC48E7"/>
    <w:multiLevelType w:val="hybridMultilevel"/>
    <w:tmpl w:val="F84C234E"/>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D4912"/>
    <w:multiLevelType w:val="singleLevel"/>
    <w:tmpl w:val="D450914A"/>
    <w:lvl w:ilvl="0">
      <w:start w:val="1"/>
      <w:numFmt w:val="bullet"/>
      <w:lvlText w:val="-"/>
      <w:lvlJc w:val="left"/>
      <w:pPr>
        <w:ind w:left="360" w:hanging="360"/>
      </w:pPr>
      <w:rPr>
        <w:rFonts w:ascii="Times New Roman" w:eastAsia="Times New Roman" w:hAnsi="Times New Roman" w:cs="Times New Roman" w:hint="default"/>
      </w:rPr>
    </w:lvl>
  </w:abstractNum>
  <w:abstractNum w:abstractNumId="7" w15:restartNumberingAfterBreak="0">
    <w:nsid w:val="35BB7438"/>
    <w:multiLevelType w:val="hybridMultilevel"/>
    <w:tmpl w:val="B9E06B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1C23C7"/>
    <w:multiLevelType w:val="hybridMultilevel"/>
    <w:tmpl w:val="7AEC191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0F7D84"/>
    <w:multiLevelType w:val="hybridMultilevel"/>
    <w:tmpl w:val="FBAC7E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26E38"/>
    <w:multiLevelType w:val="hybridMultilevel"/>
    <w:tmpl w:val="5922E04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8D5975"/>
    <w:multiLevelType w:val="hybridMultilevel"/>
    <w:tmpl w:val="2F1465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B9C5B24"/>
    <w:multiLevelType w:val="singleLevel"/>
    <w:tmpl w:val="D450914A"/>
    <w:lvl w:ilvl="0">
      <w:start w:val="1"/>
      <w:numFmt w:val="bullet"/>
      <w:lvlText w:val="-"/>
      <w:lvlJc w:val="left"/>
      <w:pPr>
        <w:ind w:left="360" w:hanging="360"/>
      </w:pPr>
      <w:rPr>
        <w:rFonts w:ascii="Times New Roman" w:eastAsia="Times New Roman" w:hAnsi="Times New Roman" w:cs="Times New Roman"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2"/>
  </w:num>
  <w:num w:numId="6">
    <w:abstractNumId w:val="6"/>
  </w:num>
  <w:num w:numId="7">
    <w:abstractNumId w:val="7"/>
  </w:num>
  <w:num w:numId="8">
    <w:abstractNumId w:val="2"/>
  </w:num>
  <w:num w:numId="9">
    <w:abstractNumId w:val="10"/>
  </w:num>
  <w:num w:numId="10">
    <w:abstractNumId w:val="1"/>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B8"/>
    <w:rsid w:val="00070BFA"/>
    <w:rsid w:val="000710B8"/>
    <w:rsid w:val="00072F85"/>
    <w:rsid w:val="000A5E72"/>
    <w:rsid w:val="000A7B60"/>
    <w:rsid w:val="00181364"/>
    <w:rsid w:val="002945D9"/>
    <w:rsid w:val="00305C48"/>
    <w:rsid w:val="003362C6"/>
    <w:rsid w:val="00497D4D"/>
    <w:rsid w:val="005F6F06"/>
    <w:rsid w:val="00677BFD"/>
    <w:rsid w:val="00742EBF"/>
    <w:rsid w:val="00786034"/>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3D1C"/>
  <w15:chartTrackingRefBased/>
  <w15:docId w15:val="{79CDE151-98B1-40B0-81EF-5E5EA477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10B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0710B8"/>
    <w:pPr>
      <w:ind w:left="720"/>
      <w:contextualSpacing/>
    </w:pPr>
  </w:style>
  <w:style w:type="paragraph" w:styleId="Antrats">
    <w:name w:val="header"/>
    <w:basedOn w:val="prastasis"/>
    <w:link w:val="AntratsDiagrama"/>
    <w:uiPriority w:val="99"/>
    <w:unhideWhenUsed/>
    <w:rsid w:val="000710B8"/>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0710B8"/>
    <w:rPr>
      <w:rFonts w:eastAsiaTheme="minorHAnsi"/>
    </w:rPr>
  </w:style>
  <w:style w:type="paragraph" w:styleId="Porat">
    <w:name w:val="footer"/>
    <w:basedOn w:val="prastasis"/>
    <w:link w:val="PoratDiagrama"/>
    <w:uiPriority w:val="99"/>
    <w:unhideWhenUsed/>
    <w:rsid w:val="000710B8"/>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0710B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11749</Words>
  <Characters>6698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2025-05-27T05:42:00Z</dcterms:created>
  <dcterms:modified xsi:type="dcterms:W3CDTF">2025-05-29T07:39:00Z</dcterms:modified>
</cp:coreProperties>
</file>