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16" w:rsidRPr="00965273" w:rsidRDefault="00111F16" w:rsidP="00111F16">
      <w:pPr>
        <w:pStyle w:val="TTEMEASMCA"/>
      </w:pPr>
      <w:bookmarkStart w:id="0" w:name="_Toc129243263"/>
      <w:bookmarkStart w:id="1" w:name="_Toc129243138"/>
      <w:r w:rsidRPr="00B4733E">
        <w:t xml:space="preserve">Pakuotės lapelis: </w:t>
      </w:r>
      <w:bookmarkEnd w:id="0"/>
      <w:bookmarkEnd w:id="1"/>
      <w:r w:rsidRPr="00B4733E">
        <w:t xml:space="preserve">informacija </w:t>
      </w:r>
      <w:r>
        <w:t>pacientui</w:t>
      </w:r>
    </w:p>
    <w:p w:rsidR="00111F16" w:rsidRPr="0090237F" w:rsidRDefault="00111F16" w:rsidP="00111F16">
      <w:pPr>
        <w:pStyle w:val="BTEMEASMCA"/>
        <w:widowControl w:val="0"/>
        <w:rPr>
          <w:noProof w:val="0"/>
        </w:rPr>
      </w:pPr>
    </w:p>
    <w:p w:rsidR="00111F16" w:rsidRPr="0090237F" w:rsidRDefault="00111F16" w:rsidP="00111F16">
      <w:pPr>
        <w:pStyle w:val="Pagrindinistekstas"/>
        <w:widowControl w:val="0"/>
        <w:jc w:val="center"/>
        <w:outlineLvl w:val="0"/>
        <w:rPr>
          <w:b/>
          <w:szCs w:val="22"/>
          <w:lang w:val="lt-LT"/>
        </w:rPr>
      </w:pPr>
      <w:proofErr w:type="spellStart"/>
      <w:r w:rsidRPr="0090237F">
        <w:rPr>
          <w:b/>
          <w:szCs w:val="22"/>
          <w:lang w:val="lt-LT"/>
        </w:rPr>
        <w:t>Virolex</w:t>
      </w:r>
      <w:proofErr w:type="spellEnd"/>
      <w:r w:rsidRPr="0090237F">
        <w:rPr>
          <w:b/>
          <w:szCs w:val="22"/>
          <w:lang w:val="lt-LT"/>
        </w:rPr>
        <w:t xml:space="preserve"> 250 mg milteliai infuziniam tirpalui</w:t>
      </w:r>
    </w:p>
    <w:p w:rsidR="00111F16" w:rsidRPr="0090237F" w:rsidRDefault="00111F16" w:rsidP="00111F16">
      <w:pPr>
        <w:pStyle w:val="Pagrindinistekstas"/>
        <w:widowControl w:val="0"/>
        <w:jc w:val="center"/>
        <w:outlineLvl w:val="0"/>
        <w:rPr>
          <w:szCs w:val="22"/>
          <w:lang w:val="lt-LT"/>
        </w:rPr>
      </w:pPr>
      <w:proofErr w:type="spellStart"/>
      <w:r>
        <w:rPr>
          <w:szCs w:val="22"/>
          <w:lang w:val="lt-LT"/>
        </w:rPr>
        <w:t>a</w:t>
      </w:r>
      <w:r w:rsidRPr="0090237F">
        <w:rPr>
          <w:szCs w:val="22"/>
          <w:lang w:val="lt-LT"/>
        </w:rPr>
        <w:t>cikloviras</w:t>
      </w:r>
      <w:proofErr w:type="spellEnd"/>
    </w:p>
    <w:p w:rsidR="00111F16" w:rsidRPr="0090237F" w:rsidRDefault="00111F16" w:rsidP="00111F16">
      <w:pPr>
        <w:pStyle w:val="BTEMEASMCA"/>
        <w:widowControl w:val="0"/>
        <w:rPr>
          <w:noProof w:val="0"/>
        </w:rPr>
      </w:pPr>
    </w:p>
    <w:p w:rsidR="00111F16" w:rsidRPr="0090237F" w:rsidRDefault="00111F16" w:rsidP="00111F16">
      <w:pPr>
        <w:pStyle w:val="BTbEMEASMCA"/>
        <w:widowControl w:val="0"/>
        <w:rPr>
          <w:noProof w:val="0"/>
        </w:rPr>
      </w:pPr>
      <w:r w:rsidRPr="0090237F">
        <w:rPr>
          <w:noProof w:val="0"/>
        </w:rPr>
        <w:t>Atidžiai perskaitykite visą šį lapelį, prieš pradėdami vartoti vaistą, nes jame pateikiama Jums svarbi informacija.</w:t>
      </w:r>
    </w:p>
    <w:p w:rsidR="00111F16" w:rsidRPr="0090237F" w:rsidRDefault="00111F16" w:rsidP="00111F16">
      <w:pPr>
        <w:pStyle w:val="BT-EMEASMCA"/>
        <w:widowControl w:val="0"/>
        <w:tabs>
          <w:tab w:val="clear" w:pos="720"/>
        </w:tabs>
        <w:ind w:left="567" w:hanging="567"/>
        <w:rPr>
          <w:noProof w:val="0"/>
        </w:rPr>
      </w:pPr>
      <w:r w:rsidRPr="0090237F">
        <w:rPr>
          <w:noProof w:val="0"/>
        </w:rPr>
        <w:t>Neišmeskite šio lapelio, nes vėl gali prireikti jį perskaityti.</w:t>
      </w:r>
    </w:p>
    <w:p w:rsidR="00111F16" w:rsidRPr="0090237F" w:rsidRDefault="00111F16" w:rsidP="00111F16">
      <w:pPr>
        <w:pStyle w:val="BT-EMEASMCA"/>
        <w:widowControl w:val="0"/>
        <w:tabs>
          <w:tab w:val="clear" w:pos="720"/>
        </w:tabs>
        <w:ind w:left="567" w:hanging="567"/>
        <w:rPr>
          <w:noProof w:val="0"/>
        </w:rPr>
      </w:pPr>
      <w:r w:rsidRPr="0090237F">
        <w:rPr>
          <w:noProof w:val="0"/>
        </w:rPr>
        <w:t>Jeigu kiltų daugiau klausimų, kreipkitės į gydytoją arba vaistininką.</w:t>
      </w:r>
    </w:p>
    <w:p w:rsidR="00111F16" w:rsidRPr="0090237F" w:rsidRDefault="00111F16" w:rsidP="00111F16">
      <w:pPr>
        <w:pStyle w:val="BT-EMEASMCA"/>
        <w:widowControl w:val="0"/>
        <w:tabs>
          <w:tab w:val="clear" w:pos="720"/>
        </w:tabs>
        <w:ind w:left="567" w:hanging="567"/>
        <w:rPr>
          <w:noProof w:val="0"/>
        </w:rPr>
      </w:pPr>
      <w:r w:rsidRPr="0090237F">
        <w:rPr>
          <w:noProof w:val="0"/>
        </w:rPr>
        <w:t>Šis vaistas skirtas tik Jums, todėl kitiems žmonėms jo duoti negalima. Vaistas gali jiems pakenkti (net tiems, kurių ligos požymiai yra tokie patys kaip Jūsų).</w:t>
      </w:r>
    </w:p>
    <w:p w:rsidR="00111F16" w:rsidRPr="0090237F" w:rsidRDefault="00111F16" w:rsidP="00111F16">
      <w:pPr>
        <w:pStyle w:val="BT-EMEASMCA"/>
        <w:widowControl w:val="0"/>
        <w:tabs>
          <w:tab w:val="clear" w:pos="720"/>
        </w:tabs>
        <w:ind w:left="567" w:hanging="567"/>
        <w:rPr>
          <w:noProof w:val="0"/>
        </w:rPr>
      </w:pPr>
      <w:r w:rsidRPr="0090237F">
        <w:rPr>
          <w:noProof w:val="0"/>
        </w:rPr>
        <w:t>Jeigu pasireiškė sunkus šalutinis poveikis (net jeigu jis šiame lapelyje nenurodytas), kreipkitės į gydytoją arba vaistininką.</w:t>
      </w:r>
      <w:r w:rsidRPr="00807559">
        <w:rPr>
          <w:noProof w:val="0"/>
        </w:rPr>
        <w:t xml:space="preserve"> Žr. 4 skyrių.</w:t>
      </w:r>
    </w:p>
    <w:p w:rsidR="00111F16" w:rsidRPr="0090237F" w:rsidRDefault="00111F16" w:rsidP="00111F16">
      <w:pPr>
        <w:pStyle w:val="Pagrindinistekstas"/>
        <w:widowControl w:val="0"/>
        <w:rPr>
          <w:szCs w:val="22"/>
          <w:lang w:val="lt-LT"/>
        </w:rPr>
      </w:pPr>
    </w:p>
    <w:p w:rsidR="00111F16" w:rsidRPr="0090237F" w:rsidRDefault="00111F16" w:rsidP="00111F16">
      <w:pPr>
        <w:pStyle w:val="BTbEMEASMCA"/>
        <w:widowControl w:val="0"/>
        <w:rPr>
          <w:noProof w:val="0"/>
        </w:rPr>
      </w:pPr>
      <w:r w:rsidRPr="0090237F">
        <w:rPr>
          <w:noProof w:val="0"/>
        </w:rPr>
        <w:t>Apie ką rašoma šiame lapelyje?</w:t>
      </w:r>
    </w:p>
    <w:p w:rsidR="00111F16" w:rsidRPr="0090237F" w:rsidRDefault="00111F16" w:rsidP="00111F16">
      <w:pPr>
        <w:pStyle w:val="BTbEMEASMCA"/>
        <w:widowControl w:val="0"/>
        <w:rPr>
          <w:noProof w:val="0"/>
        </w:rPr>
      </w:pPr>
    </w:p>
    <w:p w:rsidR="00111F16" w:rsidRPr="0090237F" w:rsidRDefault="00111F16" w:rsidP="00111F16">
      <w:pPr>
        <w:pStyle w:val="BTEMEASMCA"/>
        <w:widowControl w:val="0"/>
        <w:ind w:left="540" w:hanging="540"/>
        <w:rPr>
          <w:noProof w:val="0"/>
        </w:rPr>
      </w:pPr>
      <w:r w:rsidRPr="0090237F">
        <w:rPr>
          <w:noProof w:val="0"/>
        </w:rPr>
        <w:t>1.</w:t>
      </w:r>
      <w:r w:rsidRPr="0090237F">
        <w:rPr>
          <w:noProof w:val="0"/>
        </w:rPr>
        <w:tab/>
        <w:t xml:space="preserve">Kas yra </w:t>
      </w:r>
      <w:proofErr w:type="spellStart"/>
      <w:r w:rsidRPr="0090237F">
        <w:rPr>
          <w:noProof w:val="0"/>
        </w:rPr>
        <w:t>Virolex</w:t>
      </w:r>
      <w:proofErr w:type="spellEnd"/>
      <w:r w:rsidRPr="0090237F">
        <w:rPr>
          <w:noProof w:val="0"/>
        </w:rPr>
        <w:t xml:space="preserve"> ir kam jis vartojamas</w:t>
      </w:r>
    </w:p>
    <w:p w:rsidR="00111F16" w:rsidRPr="0090237F" w:rsidRDefault="00111F16" w:rsidP="00111F16">
      <w:pPr>
        <w:pStyle w:val="BTEMEASMCA"/>
        <w:widowControl w:val="0"/>
        <w:ind w:left="540" w:hanging="540"/>
        <w:rPr>
          <w:noProof w:val="0"/>
        </w:rPr>
      </w:pPr>
      <w:r w:rsidRPr="0090237F">
        <w:rPr>
          <w:noProof w:val="0"/>
        </w:rPr>
        <w:t>2.</w:t>
      </w:r>
      <w:r w:rsidRPr="0090237F">
        <w:rPr>
          <w:noProof w:val="0"/>
        </w:rPr>
        <w:tab/>
        <w:t xml:space="preserve">Kas žinotina prieš vartojant </w:t>
      </w:r>
      <w:proofErr w:type="spellStart"/>
      <w:r w:rsidRPr="0090237F">
        <w:rPr>
          <w:noProof w:val="0"/>
        </w:rPr>
        <w:t>Virolex</w:t>
      </w:r>
      <w:proofErr w:type="spellEnd"/>
    </w:p>
    <w:p w:rsidR="00111F16" w:rsidRPr="0090237F" w:rsidRDefault="00111F16" w:rsidP="00111F16">
      <w:pPr>
        <w:pStyle w:val="BTEMEASMCA"/>
        <w:widowControl w:val="0"/>
        <w:ind w:left="540" w:hanging="540"/>
        <w:rPr>
          <w:noProof w:val="0"/>
        </w:rPr>
      </w:pPr>
      <w:r w:rsidRPr="0090237F">
        <w:rPr>
          <w:noProof w:val="0"/>
        </w:rPr>
        <w:t>3.</w:t>
      </w:r>
      <w:r w:rsidRPr="0090237F">
        <w:rPr>
          <w:noProof w:val="0"/>
        </w:rPr>
        <w:tab/>
        <w:t xml:space="preserve">Kaip vartoti </w:t>
      </w:r>
      <w:proofErr w:type="spellStart"/>
      <w:r w:rsidRPr="0090237F">
        <w:rPr>
          <w:noProof w:val="0"/>
        </w:rPr>
        <w:t>Virolex</w:t>
      </w:r>
      <w:proofErr w:type="spellEnd"/>
    </w:p>
    <w:p w:rsidR="00111F16" w:rsidRPr="0090237F" w:rsidRDefault="00111F16" w:rsidP="00111F16">
      <w:pPr>
        <w:pStyle w:val="BTEMEASMCA"/>
        <w:widowControl w:val="0"/>
        <w:ind w:left="540" w:hanging="540"/>
        <w:rPr>
          <w:noProof w:val="0"/>
        </w:rPr>
      </w:pPr>
      <w:r w:rsidRPr="0090237F">
        <w:rPr>
          <w:noProof w:val="0"/>
        </w:rPr>
        <w:t>4.</w:t>
      </w:r>
      <w:r w:rsidRPr="0090237F">
        <w:rPr>
          <w:noProof w:val="0"/>
        </w:rPr>
        <w:tab/>
        <w:t>Galimas šalutinis poveikis</w:t>
      </w:r>
    </w:p>
    <w:p w:rsidR="00111F16" w:rsidRPr="0090237F" w:rsidRDefault="00111F16" w:rsidP="00111F16">
      <w:pPr>
        <w:pStyle w:val="BTEMEASMCA"/>
        <w:widowControl w:val="0"/>
        <w:ind w:left="540" w:hanging="540"/>
        <w:rPr>
          <w:noProof w:val="0"/>
        </w:rPr>
      </w:pPr>
      <w:r w:rsidRPr="0090237F">
        <w:rPr>
          <w:noProof w:val="0"/>
        </w:rPr>
        <w:t>5.</w:t>
      </w:r>
      <w:r w:rsidRPr="0090237F">
        <w:rPr>
          <w:noProof w:val="0"/>
        </w:rPr>
        <w:tab/>
        <w:t xml:space="preserve">Kaip laikyti </w:t>
      </w:r>
      <w:proofErr w:type="spellStart"/>
      <w:r w:rsidRPr="0090237F">
        <w:rPr>
          <w:noProof w:val="0"/>
        </w:rPr>
        <w:t>Virolex</w:t>
      </w:r>
      <w:proofErr w:type="spellEnd"/>
    </w:p>
    <w:p w:rsidR="00111F16" w:rsidRPr="0090237F" w:rsidRDefault="00111F16" w:rsidP="00111F16">
      <w:pPr>
        <w:pStyle w:val="BTEMEASMCA"/>
        <w:widowControl w:val="0"/>
        <w:ind w:left="540" w:hanging="540"/>
        <w:rPr>
          <w:noProof w:val="0"/>
        </w:rPr>
      </w:pPr>
      <w:r w:rsidRPr="0090237F">
        <w:rPr>
          <w:noProof w:val="0"/>
        </w:rPr>
        <w:t>6.</w:t>
      </w:r>
      <w:r w:rsidRPr="0090237F">
        <w:rPr>
          <w:noProof w:val="0"/>
        </w:rPr>
        <w:tab/>
        <w:t>Pakuotės turinys ir kita informacija</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p>
    <w:p w:rsidR="00111F16" w:rsidRPr="0090237F" w:rsidRDefault="00111F16" w:rsidP="00111F16">
      <w:pPr>
        <w:pStyle w:val="PI-1EMEASMCA"/>
        <w:keepNext w:val="0"/>
        <w:widowControl w:val="0"/>
      </w:pPr>
      <w:bookmarkStart w:id="2" w:name="_Toc129243264"/>
      <w:bookmarkStart w:id="3" w:name="_Toc129243139"/>
      <w:r w:rsidRPr="0090237F">
        <w:t>1.</w:t>
      </w:r>
      <w:r w:rsidRPr="0090237F">
        <w:tab/>
        <w:t>K</w:t>
      </w:r>
      <w:bookmarkEnd w:id="2"/>
      <w:bookmarkEnd w:id="3"/>
      <w:r w:rsidRPr="0090237F">
        <w:t xml:space="preserve">as yra </w:t>
      </w:r>
      <w:proofErr w:type="spellStart"/>
      <w:r w:rsidRPr="0090237F">
        <w:t>Virolex</w:t>
      </w:r>
      <w:proofErr w:type="spellEnd"/>
      <w:r w:rsidRPr="0090237F">
        <w:t xml:space="preserve"> ir kam jis vartojamas</w:t>
      </w:r>
    </w:p>
    <w:p w:rsidR="00111F16" w:rsidRPr="0090237F" w:rsidRDefault="00111F16" w:rsidP="00111F16">
      <w:pPr>
        <w:pStyle w:val="Pagrindinistekstas"/>
        <w:widowControl w:val="0"/>
        <w:rPr>
          <w:szCs w:val="22"/>
          <w:lang w:val="lt-LT"/>
        </w:rPr>
      </w:pPr>
    </w:p>
    <w:p w:rsidR="00111F16" w:rsidRDefault="00111F16" w:rsidP="00111F16">
      <w:pPr>
        <w:pStyle w:val="Pagrindinistekstas"/>
        <w:widowControl w:val="0"/>
        <w:rPr>
          <w:szCs w:val="22"/>
          <w:lang w:val="lt-LT"/>
        </w:rPr>
      </w:pPr>
      <w:proofErr w:type="spellStart"/>
      <w:r>
        <w:rPr>
          <w:szCs w:val="22"/>
          <w:lang w:val="lt-LT"/>
        </w:rPr>
        <w:t>Virolex</w:t>
      </w:r>
      <w:proofErr w:type="spellEnd"/>
      <w:r>
        <w:rPr>
          <w:szCs w:val="22"/>
          <w:lang w:val="lt-LT"/>
        </w:rPr>
        <w:t xml:space="preserve"> veiklioji medžiaga </w:t>
      </w:r>
      <w:proofErr w:type="spellStart"/>
      <w:r>
        <w:rPr>
          <w:szCs w:val="22"/>
          <w:lang w:val="lt-LT"/>
        </w:rPr>
        <w:t>a</w:t>
      </w:r>
      <w:r w:rsidRPr="0090237F">
        <w:rPr>
          <w:szCs w:val="22"/>
          <w:lang w:val="lt-LT"/>
        </w:rPr>
        <w:t>cikloviras</w:t>
      </w:r>
      <w:proofErr w:type="spellEnd"/>
      <w:r w:rsidRPr="0090237F">
        <w:rPr>
          <w:szCs w:val="22"/>
          <w:lang w:val="lt-LT"/>
        </w:rPr>
        <w:t xml:space="preserve"> </w:t>
      </w:r>
      <w:r>
        <w:rPr>
          <w:szCs w:val="22"/>
          <w:lang w:val="lt-LT"/>
        </w:rPr>
        <w:t>veikia</w:t>
      </w:r>
      <w:r w:rsidRPr="0090237F">
        <w:rPr>
          <w:szCs w:val="22"/>
          <w:lang w:val="lt-LT"/>
        </w:rPr>
        <w:t xml:space="preserve"> prieš 1 ir 2 tipo paprastosios pūslelinės virusus bei juostinės pūslelinės</w:t>
      </w:r>
      <w:r w:rsidRPr="0090237F">
        <w:rPr>
          <w:i/>
          <w:szCs w:val="22"/>
          <w:lang w:val="lt-LT"/>
        </w:rPr>
        <w:t xml:space="preserve"> </w:t>
      </w:r>
      <w:r w:rsidRPr="0090237F">
        <w:rPr>
          <w:szCs w:val="22"/>
          <w:lang w:val="lt-LT"/>
        </w:rPr>
        <w:t>virusą.</w:t>
      </w:r>
    </w:p>
    <w:p w:rsidR="00111F16" w:rsidRDefault="00111F16" w:rsidP="00111F16">
      <w:pPr>
        <w:pStyle w:val="Pagrindinistekstas"/>
        <w:widowControl w:val="0"/>
        <w:rPr>
          <w:szCs w:val="22"/>
          <w:lang w:val="lt-LT"/>
        </w:rPr>
      </w:pPr>
    </w:p>
    <w:p w:rsidR="00111F16" w:rsidRDefault="00111F16" w:rsidP="00111F16">
      <w:pPr>
        <w:pStyle w:val="Pagrindinistekstas"/>
        <w:widowControl w:val="0"/>
        <w:rPr>
          <w:szCs w:val="22"/>
          <w:lang w:val="lt-LT"/>
        </w:rPr>
      </w:pPr>
      <w:r>
        <w:rPr>
          <w:szCs w:val="22"/>
          <w:lang w:val="lt-LT"/>
        </w:rPr>
        <w:t>Slopina viruso DNR sintezę, tačiau normalių procesų ląstelėse neveikia.</w:t>
      </w:r>
    </w:p>
    <w:p w:rsidR="00111F16" w:rsidRPr="0090237F" w:rsidRDefault="00111F16" w:rsidP="00111F16">
      <w:pPr>
        <w:pStyle w:val="Pagrindinistekstas"/>
        <w:widowControl w:val="0"/>
        <w:rPr>
          <w:szCs w:val="22"/>
          <w:lang w:val="lt-LT"/>
        </w:rPr>
      </w:pPr>
    </w:p>
    <w:p w:rsidR="00111F16" w:rsidRPr="0090237F" w:rsidRDefault="00111F16" w:rsidP="00111F16">
      <w:pPr>
        <w:pStyle w:val="paragraph"/>
        <w:widowControl w:val="0"/>
        <w:rPr>
          <w:sz w:val="22"/>
          <w:szCs w:val="22"/>
          <w:lang w:val="lt-LT"/>
        </w:rPr>
      </w:pPr>
      <w:r>
        <w:rPr>
          <w:sz w:val="22"/>
          <w:szCs w:val="22"/>
          <w:lang w:val="lt-LT"/>
        </w:rPr>
        <w:t>Vaisto gali būti</w:t>
      </w:r>
      <w:r w:rsidRPr="0090237F">
        <w:rPr>
          <w:sz w:val="22"/>
          <w:szCs w:val="22"/>
          <w:lang w:val="lt-LT"/>
        </w:rPr>
        <w:t xml:space="preserve"> skiria</w:t>
      </w:r>
      <w:r>
        <w:rPr>
          <w:sz w:val="22"/>
          <w:szCs w:val="22"/>
          <w:lang w:val="lt-LT"/>
        </w:rPr>
        <w:t>ma</w:t>
      </w:r>
      <w:r w:rsidRPr="0090237F">
        <w:rPr>
          <w:sz w:val="22"/>
          <w:szCs w:val="22"/>
          <w:lang w:val="lt-LT"/>
        </w:rPr>
        <w:t>:</w:t>
      </w:r>
    </w:p>
    <w:p w:rsidR="00111F16" w:rsidRPr="0090237F" w:rsidRDefault="00111F16" w:rsidP="00111F16">
      <w:pPr>
        <w:pStyle w:val="Komentarotekstas"/>
        <w:widowControl w:val="0"/>
        <w:numPr>
          <w:ilvl w:val="0"/>
          <w:numId w:val="2"/>
        </w:numPr>
        <w:tabs>
          <w:tab w:val="clear" w:pos="644"/>
        </w:tabs>
        <w:ind w:left="567" w:hanging="567"/>
        <w:rPr>
          <w:sz w:val="22"/>
          <w:szCs w:val="22"/>
        </w:rPr>
      </w:pPr>
      <w:r>
        <w:rPr>
          <w:sz w:val="22"/>
          <w:szCs w:val="22"/>
        </w:rPr>
        <w:t>p</w:t>
      </w:r>
      <w:r w:rsidRPr="0090237F">
        <w:rPr>
          <w:sz w:val="22"/>
          <w:szCs w:val="22"/>
        </w:rPr>
        <w:t>aprastosios pūslelinės virusų sukeltų ligų gydymui žmonėms, kurių organizmo imuninis atsakas yra nepakankamas</w:t>
      </w:r>
      <w:r>
        <w:rPr>
          <w:sz w:val="22"/>
          <w:szCs w:val="22"/>
        </w:rPr>
        <w:t>,</w:t>
      </w:r>
      <w:r w:rsidRPr="0090237F">
        <w:rPr>
          <w:sz w:val="22"/>
          <w:szCs w:val="22"/>
        </w:rPr>
        <w:t xml:space="preserve"> ir sunkios pirminės lyties organų pūslelinės gydymui žmonėms, kurių organizmo imuninis atsakas yra pakankamas</w:t>
      </w:r>
      <w:r>
        <w:rPr>
          <w:sz w:val="22"/>
          <w:szCs w:val="22"/>
        </w:rPr>
        <w:t>;</w:t>
      </w:r>
    </w:p>
    <w:p w:rsidR="00111F16" w:rsidRPr="0090237F" w:rsidRDefault="00111F16" w:rsidP="00111F16">
      <w:pPr>
        <w:pStyle w:val="Komentarotekstas"/>
        <w:widowControl w:val="0"/>
        <w:numPr>
          <w:ilvl w:val="0"/>
          <w:numId w:val="2"/>
        </w:numPr>
        <w:tabs>
          <w:tab w:val="clear" w:pos="644"/>
        </w:tabs>
        <w:ind w:left="567" w:hanging="567"/>
        <w:rPr>
          <w:sz w:val="22"/>
          <w:szCs w:val="22"/>
        </w:rPr>
      </w:pPr>
      <w:r>
        <w:rPr>
          <w:sz w:val="22"/>
          <w:szCs w:val="22"/>
        </w:rPr>
        <w:t>p</w:t>
      </w:r>
      <w:r w:rsidRPr="0090237F">
        <w:rPr>
          <w:sz w:val="22"/>
          <w:szCs w:val="22"/>
        </w:rPr>
        <w:t>aprastosios pūslelinės virusų sukeltų ligų profilaktikai žmonėms, kurių organizmo imuninis atsakas yra nepakankamas</w:t>
      </w:r>
      <w:r>
        <w:rPr>
          <w:sz w:val="22"/>
          <w:szCs w:val="22"/>
        </w:rPr>
        <w:t>;</w:t>
      </w:r>
    </w:p>
    <w:p w:rsidR="00111F16" w:rsidRPr="0090237F" w:rsidRDefault="00111F16" w:rsidP="00111F16">
      <w:pPr>
        <w:pStyle w:val="Komentarotekstas"/>
        <w:widowControl w:val="0"/>
        <w:numPr>
          <w:ilvl w:val="0"/>
          <w:numId w:val="2"/>
        </w:numPr>
        <w:tabs>
          <w:tab w:val="clear" w:pos="644"/>
        </w:tabs>
        <w:ind w:left="567" w:hanging="567"/>
        <w:rPr>
          <w:sz w:val="22"/>
          <w:szCs w:val="22"/>
        </w:rPr>
      </w:pPr>
      <w:r>
        <w:rPr>
          <w:sz w:val="22"/>
          <w:szCs w:val="22"/>
        </w:rPr>
        <w:t>j</w:t>
      </w:r>
      <w:r w:rsidRPr="0090237F">
        <w:rPr>
          <w:sz w:val="22"/>
          <w:szCs w:val="22"/>
        </w:rPr>
        <w:t>uostinės pūslelinės sukeltų ligų gydymui</w:t>
      </w:r>
      <w:r>
        <w:rPr>
          <w:sz w:val="22"/>
          <w:szCs w:val="22"/>
        </w:rPr>
        <w:t>;</w:t>
      </w:r>
    </w:p>
    <w:p w:rsidR="00111F16" w:rsidRPr="0090237F" w:rsidRDefault="00111F16" w:rsidP="00111F16">
      <w:pPr>
        <w:pStyle w:val="Komentarotekstas"/>
        <w:widowControl w:val="0"/>
        <w:numPr>
          <w:ilvl w:val="0"/>
          <w:numId w:val="2"/>
        </w:numPr>
        <w:tabs>
          <w:tab w:val="clear" w:pos="644"/>
        </w:tabs>
        <w:ind w:left="567" w:hanging="567"/>
        <w:rPr>
          <w:sz w:val="22"/>
          <w:szCs w:val="22"/>
        </w:rPr>
      </w:pPr>
      <w:proofErr w:type="spellStart"/>
      <w:r>
        <w:rPr>
          <w:sz w:val="22"/>
          <w:szCs w:val="22"/>
        </w:rPr>
        <w:t>h</w:t>
      </w:r>
      <w:r w:rsidRPr="0090237F">
        <w:rPr>
          <w:sz w:val="22"/>
          <w:szCs w:val="22"/>
        </w:rPr>
        <w:t>erpesvirusinio</w:t>
      </w:r>
      <w:proofErr w:type="spellEnd"/>
      <w:r w:rsidRPr="0090237F">
        <w:rPr>
          <w:sz w:val="22"/>
          <w:szCs w:val="22"/>
        </w:rPr>
        <w:t xml:space="preserve"> encefalito gydymui</w:t>
      </w:r>
      <w:r>
        <w:rPr>
          <w:sz w:val="22"/>
          <w:szCs w:val="22"/>
        </w:rPr>
        <w:t>;</w:t>
      </w:r>
    </w:p>
    <w:p w:rsidR="00111F16" w:rsidRPr="0090237F" w:rsidRDefault="00111F16" w:rsidP="00111F16">
      <w:pPr>
        <w:pStyle w:val="Komentarotekstas"/>
        <w:widowControl w:val="0"/>
        <w:numPr>
          <w:ilvl w:val="0"/>
          <w:numId w:val="2"/>
        </w:numPr>
        <w:tabs>
          <w:tab w:val="clear" w:pos="644"/>
        </w:tabs>
        <w:ind w:left="567" w:hanging="567"/>
        <w:rPr>
          <w:sz w:val="22"/>
          <w:szCs w:val="22"/>
        </w:rPr>
      </w:pPr>
      <w:r>
        <w:rPr>
          <w:sz w:val="22"/>
          <w:szCs w:val="22"/>
        </w:rPr>
        <w:t>n</w:t>
      </w:r>
      <w:r w:rsidRPr="0090237F">
        <w:rPr>
          <w:sz w:val="22"/>
          <w:szCs w:val="22"/>
        </w:rPr>
        <w:t>aujagimių ir kūdikių iki 3 mėnesių amžiaus paprastosios pūslelinės virusų sukeltų ligų gydymui.</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p>
    <w:p w:rsidR="00111F16" w:rsidRPr="0090237F" w:rsidRDefault="00111F16" w:rsidP="00111F16">
      <w:pPr>
        <w:pStyle w:val="PI-1EMEASMCA"/>
        <w:keepNext w:val="0"/>
        <w:widowControl w:val="0"/>
      </w:pPr>
      <w:bookmarkStart w:id="4" w:name="_Toc129243265"/>
      <w:bookmarkStart w:id="5" w:name="_Toc129243140"/>
      <w:r w:rsidRPr="0090237F">
        <w:t>2.</w:t>
      </w:r>
      <w:r w:rsidRPr="0090237F">
        <w:tab/>
        <w:t>K</w:t>
      </w:r>
      <w:bookmarkEnd w:id="4"/>
      <w:bookmarkEnd w:id="5"/>
      <w:r w:rsidRPr="0090237F">
        <w:t xml:space="preserve">as žinotina prieš vartojant </w:t>
      </w:r>
      <w:proofErr w:type="spellStart"/>
      <w:r w:rsidRPr="0090237F">
        <w:t>Virolex</w:t>
      </w:r>
      <w:proofErr w:type="spellEnd"/>
    </w:p>
    <w:p w:rsidR="00111F16" w:rsidRPr="0090237F" w:rsidRDefault="00111F16" w:rsidP="00111F16">
      <w:pPr>
        <w:pStyle w:val="BTEMEASMCA"/>
        <w:widowControl w:val="0"/>
        <w:rPr>
          <w:noProof w:val="0"/>
        </w:rPr>
      </w:pPr>
    </w:p>
    <w:p w:rsidR="00111F16" w:rsidRPr="0090237F" w:rsidRDefault="00111F16" w:rsidP="00111F16">
      <w:pPr>
        <w:pStyle w:val="PI-3EMEASMCA"/>
        <w:widowControl w:val="0"/>
        <w:spacing w:line="240" w:lineRule="auto"/>
      </w:pPr>
      <w:proofErr w:type="spellStart"/>
      <w:r w:rsidRPr="0090237F">
        <w:t>Virolex</w:t>
      </w:r>
      <w:proofErr w:type="spellEnd"/>
      <w:r w:rsidRPr="0090237F">
        <w:t xml:space="preserve"> vartoti negalima:</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jei yra alergija </w:t>
      </w:r>
      <w:proofErr w:type="spellStart"/>
      <w:r w:rsidRPr="0090237F">
        <w:rPr>
          <w:noProof w:val="0"/>
        </w:rPr>
        <w:t>aciklovirui</w:t>
      </w:r>
      <w:proofErr w:type="spellEnd"/>
      <w:r w:rsidRPr="0090237F">
        <w:rPr>
          <w:noProof w:val="0"/>
        </w:rPr>
        <w:t xml:space="preserve">, </w:t>
      </w:r>
      <w:proofErr w:type="spellStart"/>
      <w:r w:rsidRPr="0090237F">
        <w:rPr>
          <w:noProof w:val="0"/>
        </w:rPr>
        <w:t>valaciklovirui</w:t>
      </w:r>
      <w:proofErr w:type="spellEnd"/>
      <w:r w:rsidRPr="0090237F">
        <w:rPr>
          <w:noProof w:val="0"/>
        </w:rPr>
        <w:t xml:space="preserve"> arba bet kuriai pagalbinei šio vaisto medžiagai (jos išvardytos 6 skyriuje).</w:t>
      </w:r>
    </w:p>
    <w:p w:rsidR="00111F16" w:rsidRPr="0090237F" w:rsidRDefault="00111F16" w:rsidP="00111F16">
      <w:pPr>
        <w:pStyle w:val="Pagrindinistekstas"/>
        <w:widowControl w:val="0"/>
        <w:rPr>
          <w:szCs w:val="22"/>
          <w:lang w:val="lt-LT"/>
        </w:rPr>
      </w:pPr>
    </w:p>
    <w:p w:rsidR="00111F16" w:rsidRPr="0090237F" w:rsidRDefault="00111F16" w:rsidP="00111F16">
      <w:pPr>
        <w:pStyle w:val="PI-3EMEASMCA"/>
        <w:widowControl w:val="0"/>
        <w:spacing w:line="240" w:lineRule="auto"/>
      </w:pPr>
      <w:r w:rsidRPr="0090237F">
        <w:t>Įspėjimai ir atsargumo priemonės</w:t>
      </w:r>
    </w:p>
    <w:p w:rsidR="00111F16" w:rsidRPr="0090237F" w:rsidRDefault="00111F16" w:rsidP="00111F16">
      <w:pPr>
        <w:pStyle w:val="Pagrindinistekstas"/>
        <w:widowControl w:val="0"/>
        <w:rPr>
          <w:szCs w:val="22"/>
          <w:lang w:val="lt-LT"/>
        </w:rPr>
      </w:pPr>
      <w:r w:rsidRPr="0090237F">
        <w:rPr>
          <w:szCs w:val="22"/>
          <w:lang w:val="lt-LT"/>
        </w:rPr>
        <w:t>Pasitarkite su gydytoju</w:t>
      </w:r>
      <w:r>
        <w:rPr>
          <w:szCs w:val="22"/>
          <w:lang w:val="lt-LT"/>
        </w:rPr>
        <w:t xml:space="preserve"> arba</w:t>
      </w:r>
      <w:r w:rsidRPr="0090237F">
        <w:rPr>
          <w:szCs w:val="22"/>
          <w:lang w:val="lt-LT"/>
        </w:rPr>
        <w:t xml:space="preserve"> vaistininku, prieš pradėdami vartoti </w:t>
      </w:r>
      <w:proofErr w:type="spellStart"/>
      <w:r w:rsidRPr="0090237F">
        <w:rPr>
          <w:szCs w:val="22"/>
          <w:lang w:val="lt-LT"/>
        </w:rPr>
        <w:t>Virolex</w:t>
      </w:r>
      <w:proofErr w:type="spellEnd"/>
      <w:r w:rsidRPr="0090237F">
        <w:rPr>
          <w:szCs w:val="22"/>
          <w:lang w:val="lt-LT"/>
        </w:rPr>
        <w:t>:</w:t>
      </w:r>
    </w:p>
    <w:p w:rsidR="00111F16" w:rsidRPr="0090237F" w:rsidRDefault="00111F16" w:rsidP="00111F16">
      <w:pPr>
        <w:pStyle w:val="BT-EMEASMCA"/>
        <w:widowControl w:val="0"/>
        <w:tabs>
          <w:tab w:val="clear" w:pos="720"/>
        </w:tabs>
        <w:ind w:left="567" w:hanging="567"/>
        <w:rPr>
          <w:noProof w:val="0"/>
        </w:rPr>
      </w:pPr>
      <w:r>
        <w:rPr>
          <w:noProof w:val="0"/>
        </w:rPr>
        <w:t>j</w:t>
      </w:r>
      <w:r w:rsidRPr="0090237F">
        <w:rPr>
          <w:noProof w:val="0"/>
        </w:rPr>
        <w:t>ei sergate inkstų ligomis</w:t>
      </w:r>
      <w:r>
        <w:rPr>
          <w:noProof w:val="0"/>
        </w:rPr>
        <w:t>, nes gali reikėti koreguoti vaisto dozę</w:t>
      </w:r>
      <w:r w:rsidRPr="0090237F">
        <w:rPr>
          <w:noProof w:val="0"/>
        </w:rPr>
        <w:t>;</w:t>
      </w:r>
    </w:p>
    <w:p w:rsidR="00111F16" w:rsidRPr="0090237F" w:rsidRDefault="00111F16" w:rsidP="00111F16">
      <w:pPr>
        <w:pStyle w:val="BT-EMEASMCA"/>
        <w:widowControl w:val="0"/>
        <w:tabs>
          <w:tab w:val="clear" w:pos="720"/>
        </w:tabs>
        <w:ind w:left="567" w:hanging="567"/>
        <w:rPr>
          <w:noProof w:val="0"/>
        </w:rPr>
      </w:pPr>
      <w:r>
        <w:rPr>
          <w:noProof w:val="0"/>
        </w:rPr>
        <w:t>j</w:t>
      </w:r>
      <w:r w:rsidRPr="0090237F">
        <w:rPr>
          <w:noProof w:val="0"/>
        </w:rPr>
        <w:t>ei esate senyvo amžiaus</w:t>
      </w:r>
      <w:r>
        <w:rPr>
          <w:noProof w:val="0"/>
        </w:rPr>
        <w:t>.</w:t>
      </w:r>
    </w:p>
    <w:p w:rsidR="00111F16" w:rsidRPr="0090237F" w:rsidRDefault="00111F16" w:rsidP="00111F16">
      <w:pPr>
        <w:pStyle w:val="BT-EMEASMCA"/>
        <w:widowControl w:val="0"/>
        <w:numPr>
          <w:ilvl w:val="0"/>
          <w:numId w:val="0"/>
        </w:numPr>
        <w:rPr>
          <w:noProof w:val="0"/>
        </w:rPr>
      </w:pPr>
    </w:p>
    <w:p w:rsidR="00111F16" w:rsidRPr="0090237F" w:rsidRDefault="00111F16" w:rsidP="00111F16">
      <w:pPr>
        <w:pStyle w:val="BT-EMEASMCA"/>
        <w:widowControl w:val="0"/>
        <w:numPr>
          <w:ilvl w:val="0"/>
          <w:numId w:val="0"/>
        </w:numPr>
        <w:rPr>
          <w:noProof w:val="0"/>
        </w:rPr>
      </w:pPr>
      <w:r w:rsidRPr="0090237F">
        <w:rPr>
          <w:noProof w:val="0"/>
        </w:rPr>
        <w:t>Reikia saugotis, kad infuzinio tirpalo nepatektų į akis arba burną</w:t>
      </w:r>
      <w:r w:rsidRPr="00807559">
        <w:rPr>
          <w:noProof w:val="0"/>
        </w:rPr>
        <w:t>.</w:t>
      </w:r>
    </w:p>
    <w:p w:rsidR="00111F16" w:rsidRPr="0090237F" w:rsidRDefault="00111F16" w:rsidP="00111F16">
      <w:pPr>
        <w:pStyle w:val="PI-3EMEASMCA"/>
        <w:widowControl w:val="0"/>
        <w:spacing w:line="240" w:lineRule="auto"/>
      </w:pPr>
    </w:p>
    <w:p w:rsidR="00111F16" w:rsidRPr="0090237F" w:rsidRDefault="00111F16" w:rsidP="00111F16">
      <w:pPr>
        <w:pStyle w:val="PI-3EMEASMCA"/>
        <w:widowControl w:val="0"/>
        <w:spacing w:line="240" w:lineRule="auto"/>
      </w:pPr>
      <w:r w:rsidRPr="0090237F">
        <w:t>Vaikams</w:t>
      </w:r>
    </w:p>
    <w:p w:rsidR="00111F16" w:rsidRPr="0090237F" w:rsidRDefault="00111F16" w:rsidP="00111F16">
      <w:pPr>
        <w:pStyle w:val="PI-3EMEASMCA"/>
        <w:widowControl w:val="0"/>
        <w:spacing w:line="240" w:lineRule="auto"/>
        <w:rPr>
          <w:b w:val="0"/>
        </w:rPr>
      </w:pPr>
      <w:r w:rsidRPr="0090237F">
        <w:rPr>
          <w:b w:val="0"/>
        </w:rPr>
        <w:lastRenderedPageBreak/>
        <w:t xml:space="preserve">Jei Jūsų vaikas yra jaunesnis nei 3 mėn. amžiaus, tai prieš pradedant vartoti </w:t>
      </w:r>
      <w:proofErr w:type="spellStart"/>
      <w:r w:rsidRPr="0090237F">
        <w:rPr>
          <w:b w:val="0"/>
        </w:rPr>
        <w:t>Virolex</w:t>
      </w:r>
      <w:proofErr w:type="spellEnd"/>
      <w:r w:rsidRPr="0090237F">
        <w:rPr>
          <w:b w:val="0"/>
        </w:rPr>
        <w:t xml:space="preserve"> pasitarkite su gydytoju arba vaistininku.</w:t>
      </w:r>
    </w:p>
    <w:p w:rsidR="00111F16" w:rsidRPr="0090237F" w:rsidRDefault="00111F16" w:rsidP="00111F16">
      <w:pPr>
        <w:pStyle w:val="PI-3EMEASMCA"/>
        <w:widowControl w:val="0"/>
        <w:spacing w:line="240" w:lineRule="auto"/>
      </w:pPr>
    </w:p>
    <w:p w:rsidR="00111F16" w:rsidRPr="0090237F" w:rsidRDefault="00111F16" w:rsidP="00111F16">
      <w:pPr>
        <w:pStyle w:val="PI-3EMEASMCA"/>
        <w:widowControl w:val="0"/>
        <w:spacing w:line="240" w:lineRule="auto"/>
      </w:pPr>
      <w:r w:rsidRPr="0090237F">
        <w:t xml:space="preserve">Kiti vaistai ir </w:t>
      </w:r>
      <w:proofErr w:type="spellStart"/>
      <w:r w:rsidRPr="0090237F">
        <w:t>Virolex</w:t>
      </w:r>
      <w:proofErr w:type="spellEnd"/>
    </w:p>
    <w:p w:rsidR="00111F16" w:rsidRPr="0090237F" w:rsidRDefault="00111F16" w:rsidP="00111F16">
      <w:pPr>
        <w:pStyle w:val="BTEMEASMCA"/>
        <w:widowControl w:val="0"/>
        <w:rPr>
          <w:noProof w:val="0"/>
        </w:rPr>
      </w:pPr>
      <w:r w:rsidRPr="0090237F">
        <w:rPr>
          <w:noProof w:val="0"/>
        </w:rPr>
        <w:t>Jeigu vartojate arba neseniai vartojote kitų vaistų arba dėl to nesate tikri, apie tai pasakykite gydytojui arba vaistininkui.</w:t>
      </w:r>
    </w:p>
    <w:p w:rsidR="00111F16" w:rsidRPr="0090237F" w:rsidRDefault="00111F16" w:rsidP="00111F16">
      <w:pPr>
        <w:pStyle w:val="Pagrindinistekstas"/>
        <w:widowControl w:val="0"/>
        <w:outlineLvl w:val="0"/>
        <w:rPr>
          <w:szCs w:val="22"/>
          <w:lang w:val="lt-LT"/>
        </w:rPr>
      </w:pPr>
      <w:r w:rsidRPr="0090237F">
        <w:rPr>
          <w:szCs w:val="22"/>
          <w:lang w:val="lt-LT"/>
        </w:rPr>
        <w:t>Gydytojui ypač svarbu</w:t>
      </w:r>
      <w:r>
        <w:rPr>
          <w:szCs w:val="22"/>
          <w:lang w:val="lt-LT"/>
        </w:rPr>
        <w:t xml:space="preserve"> pasakyti</w:t>
      </w:r>
      <w:r w:rsidRPr="0090237F">
        <w:rPr>
          <w:szCs w:val="22"/>
          <w:lang w:val="lt-LT"/>
        </w:rPr>
        <w:t>, jeigu vartojate bet kuriuos iš žemiau išvardytų vaistų:</w:t>
      </w:r>
    </w:p>
    <w:p w:rsidR="00111F16" w:rsidRPr="0090237F" w:rsidRDefault="00111F16" w:rsidP="00111F16">
      <w:pPr>
        <w:pStyle w:val="BT-EMEASMCA"/>
        <w:widowControl w:val="0"/>
        <w:tabs>
          <w:tab w:val="clear" w:pos="720"/>
        </w:tabs>
        <w:ind w:left="567" w:hanging="567"/>
        <w:rPr>
          <w:noProof w:val="0"/>
        </w:rPr>
      </w:pPr>
      <w:proofErr w:type="spellStart"/>
      <w:r w:rsidRPr="0090237F">
        <w:rPr>
          <w:noProof w:val="0"/>
        </w:rPr>
        <w:t>probenecid</w:t>
      </w:r>
      <w:r>
        <w:rPr>
          <w:noProof w:val="0"/>
        </w:rPr>
        <w:t>o</w:t>
      </w:r>
      <w:proofErr w:type="spellEnd"/>
      <w:r w:rsidRPr="0090237F">
        <w:rPr>
          <w:noProof w:val="0"/>
        </w:rPr>
        <w:t>, vartojamo podagros gydymui;</w:t>
      </w:r>
    </w:p>
    <w:p w:rsidR="00111F16" w:rsidRPr="0090237F" w:rsidRDefault="00111F16" w:rsidP="00111F16">
      <w:pPr>
        <w:pStyle w:val="BT-EMEASMCA"/>
        <w:widowControl w:val="0"/>
        <w:tabs>
          <w:tab w:val="clear" w:pos="720"/>
        </w:tabs>
        <w:ind w:left="567" w:hanging="567"/>
        <w:rPr>
          <w:noProof w:val="0"/>
        </w:rPr>
      </w:pPr>
      <w:proofErr w:type="spellStart"/>
      <w:r w:rsidRPr="0090237F">
        <w:rPr>
          <w:noProof w:val="0"/>
        </w:rPr>
        <w:t>cimetidin</w:t>
      </w:r>
      <w:r>
        <w:rPr>
          <w:noProof w:val="0"/>
        </w:rPr>
        <w:t>o</w:t>
      </w:r>
      <w:proofErr w:type="spellEnd"/>
      <w:r w:rsidRPr="0090237F">
        <w:rPr>
          <w:noProof w:val="0"/>
        </w:rPr>
        <w:t>, vartojamo skrandžio opai gydyti;</w:t>
      </w:r>
    </w:p>
    <w:p w:rsidR="00111F16" w:rsidRPr="0090237F" w:rsidRDefault="00111F16" w:rsidP="00111F16">
      <w:pPr>
        <w:pStyle w:val="BT-EMEASMCA"/>
        <w:widowControl w:val="0"/>
        <w:tabs>
          <w:tab w:val="clear" w:pos="720"/>
        </w:tabs>
        <w:ind w:left="567" w:hanging="567"/>
        <w:rPr>
          <w:noProof w:val="0"/>
        </w:rPr>
      </w:pPr>
      <w:proofErr w:type="spellStart"/>
      <w:r w:rsidRPr="0090237F">
        <w:rPr>
          <w:noProof w:val="0"/>
        </w:rPr>
        <w:t>takrolimuz</w:t>
      </w:r>
      <w:r>
        <w:rPr>
          <w:noProof w:val="0"/>
        </w:rPr>
        <w:t>o</w:t>
      </w:r>
      <w:proofErr w:type="spellEnd"/>
      <w:r w:rsidRPr="0090237F">
        <w:rPr>
          <w:noProof w:val="0"/>
        </w:rPr>
        <w:t xml:space="preserve">, </w:t>
      </w:r>
      <w:proofErr w:type="spellStart"/>
      <w:r w:rsidRPr="0090237F">
        <w:rPr>
          <w:noProof w:val="0"/>
        </w:rPr>
        <w:t>ciklosporin</w:t>
      </w:r>
      <w:r>
        <w:rPr>
          <w:noProof w:val="0"/>
        </w:rPr>
        <w:t>o</w:t>
      </w:r>
      <w:proofErr w:type="spellEnd"/>
      <w:r w:rsidRPr="0090237F">
        <w:rPr>
          <w:noProof w:val="0"/>
        </w:rPr>
        <w:t xml:space="preserve"> arba </w:t>
      </w:r>
      <w:proofErr w:type="spellStart"/>
      <w:r w:rsidRPr="0090237F">
        <w:rPr>
          <w:noProof w:val="0"/>
        </w:rPr>
        <w:t>mikofenolato</w:t>
      </w:r>
      <w:proofErr w:type="spellEnd"/>
      <w:r w:rsidRPr="0090237F">
        <w:rPr>
          <w:noProof w:val="0"/>
        </w:rPr>
        <w:t xml:space="preserve"> </w:t>
      </w:r>
      <w:proofErr w:type="spellStart"/>
      <w:r w:rsidRPr="0090237F">
        <w:rPr>
          <w:noProof w:val="0"/>
        </w:rPr>
        <w:t>mofetil</w:t>
      </w:r>
      <w:r>
        <w:rPr>
          <w:noProof w:val="0"/>
        </w:rPr>
        <w:t>io</w:t>
      </w:r>
      <w:proofErr w:type="spellEnd"/>
      <w:r w:rsidRPr="0090237F">
        <w:rPr>
          <w:noProof w:val="0"/>
        </w:rPr>
        <w:t>, vartojamų persodintų organų atmetimo reakcijai sustabdyti</w:t>
      </w:r>
      <w:r>
        <w:rPr>
          <w:noProof w:val="0"/>
        </w:rPr>
        <w:t>;</w:t>
      </w:r>
    </w:p>
    <w:p w:rsidR="00111F16" w:rsidRPr="00D03247" w:rsidRDefault="00111F16" w:rsidP="00111F16">
      <w:pPr>
        <w:pStyle w:val="BT-EMEASMCA"/>
        <w:widowControl w:val="0"/>
        <w:tabs>
          <w:tab w:val="clear" w:pos="720"/>
        </w:tabs>
        <w:ind w:left="567" w:hanging="567"/>
        <w:rPr>
          <w:noProof w:val="0"/>
        </w:rPr>
      </w:pPr>
      <w:r w:rsidRPr="00D03247">
        <w:rPr>
          <w:noProof w:val="0"/>
        </w:rPr>
        <w:t>ličio, vartojamo psichikos sutrikimams gydyti;</w:t>
      </w:r>
    </w:p>
    <w:p w:rsidR="00111F16" w:rsidRPr="00D03247" w:rsidRDefault="00111F16" w:rsidP="00111F16">
      <w:pPr>
        <w:pStyle w:val="BT-EMEASMCA"/>
        <w:widowControl w:val="0"/>
        <w:tabs>
          <w:tab w:val="clear" w:pos="720"/>
        </w:tabs>
        <w:ind w:left="567" w:hanging="567"/>
        <w:rPr>
          <w:noProof w:val="0"/>
        </w:rPr>
      </w:pPr>
      <w:proofErr w:type="spellStart"/>
      <w:r w:rsidRPr="00D03247">
        <w:rPr>
          <w:noProof w:val="0"/>
        </w:rPr>
        <w:t>teofilino</w:t>
      </w:r>
      <w:proofErr w:type="spellEnd"/>
      <w:r w:rsidRPr="00D03247">
        <w:rPr>
          <w:noProof w:val="0"/>
        </w:rPr>
        <w:t>, vartojamo astmai gydyti.</w:t>
      </w:r>
    </w:p>
    <w:p w:rsidR="00111F16" w:rsidRDefault="00111F16" w:rsidP="00111F16">
      <w:pPr>
        <w:pStyle w:val="BT-EMEASMCA"/>
        <w:widowControl w:val="0"/>
        <w:numPr>
          <w:ilvl w:val="0"/>
          <w:numId w:val="0"/>
        </w:numPr>
        <w:ind w:left="720" w:hanging="363"/>
        <w:rPr>
          <w:noProof w:val="0"/>
          <w:highlight w:val="yellow"/>
        </w:rPr>
      </w:pPr>
    </w:p>
    <w:p w:rsidR="00111F16" w:rsidRPr="00DE4EE2" w:rsidRDefault="00111F16" w:rsidP="00111F16">
      <w:pPr>
        <w:widowControl w:val="0"/>
        <w:outlineLvl w:val="0"/>
        <w:rPr>
          <w:sz w:val="22"/>
          <w:szCs w:val="22"/>
          <w:lang w:val="lt-LT" w:eastAsia="lt-LT"/>
        </w:rPr>
      </w:pPr>
      <w:proofErr w:type="spellStart"/>
      <w:r>
        <w:rPr>
          <w:sz w:val="22"/>
          <w:szCs w:val="22"/>
          <w:lang w:val="lt-LT" w:eastAsia="lt-LT"/>
        </w:rPr>
        <w:t>A</w:t>
      </w:r>
      <w:r w:rsidRPr="00021912">
        <w:rPr>
          <w:sz w:val="22"/>
          <w:szCs w:val="22"/>
          <w:lang w:val="lt-LT" w:eastAsia="lt-LT"/>
        </w:rPr>
        <w:t>cikloviras</w:t>
      </w:r>
      <w:proofErr w:type="spellEnd"/>
      <w:r w:rsidRPr="00021912">
        <w:rPr>
          <w:sz w:val="22"/>
          <w:szCs w:val="22"/>
          <w:lang w:val="lt-LT" w:eastAsia="lt-LT"/>
        </w:rPr>
        <w:t xml:space="preserve"> gali sumažinti </w:t>
      </w:r>
      <w:r>
        <w:rPr>
          <w:sz w:val="22"/>
          <w:szCs w:val="22"/>
          <w:lang w:val="lt-LT" w:eastAsia="lt-LT"/>
        </w:rPr>
        <w:t xml:space="preserve">kitų vaistų, </w:t>
      </w:r>
      <w:r w:rsidRPr="00021912">
        <w:rPr>
          <w:sz w:val="22"/>
          <w:szCs w:val="22"/>
          <w:lang w:val="lt-LT" w:eastAsia="lt-LT"/>
        </w:rPr>
        <w:t xml:space="preserve">kurie yra šalinami per inkstus, tokių kaip </w:t>
      </w:r>
      <w:proofErr w:type="spellStart"/>
      <w:r w:rsidRPr="00021912">
        <w:rPr>
          <w:sz w:val="22"/>
          <w:szCs w:val="22"/>
          <w:lang w:val="lt-LT" w:eastAsia="lt-LT"/>
        </w:rPr>
        <w:t>metotreksatas</w:t>
      </w:r>
      <w:proofErr w:type="spellEnd"/>
      <w:r>
        <w:rPr>
          <w:sz w:val="22"/>
          <w:szCs w:val="22"/>
          <w:lang w:val="lt-LT" w:eastAsia="lt-LT"/>
        </w:rPr>
        <w:t>, išskyrimą iš organizmo</w:t>
      </w:r>
      <w:r w:rsidRPr="00021912">
        <w:rPr>
          <w:sz w:val="22"/>
          <w:szCs w:val="22"/>
          <w:lang w:val="lt-LT" w:eastAsia="lt-LT"/>
        </w:rPr>
        <w:t>.</w:t>
      </w:r>
    </w:p>
    <w:p w:rsidR="00111F16" w:rsidRPr="00021912" w:rsidRDefault="00111F16" w:rsidP="00111F16">
      <w:pPr>
        <w:widowControl w:val="0"/>
        <w:outlineLvl w:val="0"/>
        <w:rPr>
          <w:sz w:val="22"/>
          <w:szCs w:val="22"/>
          <w:lang w:val="lt-LT" w:eastAsia="lt-LT"/>
        </w:rPr>
      </w:pPr>
    </w:p>
    <w:p w:rsidR="00111F16" w:rsidRDefault="00111F16" w:rsidP="00111F16">
      <w:pPr>
        <w:widowControl w:val="0"/>
        <w:outlineLvl w:val="0"/>
        <w:rPr>
          <w:sz w:val="22"/>
          <w:szCs w:val="22"/>
          <w:lang w:val="lt-LT" w:eastAsia="lt-LT"/>
        </w:rPr>
      </w:pPr>
      <w:r w:rsidRPr="00021912">
        <w:rPr>
          <w:sz w:val="22"/>
          <w:szCs w:val="22"/>
          <w:lang w:val="lt-LT" w:eastAsia="lt-LT"/>
        </w:rPr>
        <w:t xml:space="preserve">Kartu su vaistais, galinčiais pažeisti inkstus arba nervų sistemą, </w:t>
      </w:r>
      <w:proofErr w:type="spellStart"/>
      <w:r w:rsidRPr="00021912">
        <w:rPr>
          <w:sz w:val="22"/>
          <w:szCs w:val="22"/>
          <w:lang w:val="lt-LT" w:eastAsia="lt-LT"/>
        </w:rPr>
        <w:t>acikloviro</w:t>
      </w:r>
      <w:proofErr w:type="spellEnd"/>
      <w:r w:rsidRPr="00021912">
        <w:rPr>
          <w:sz w:val="22"/>
          <w:szCs w:val="22"/>
          <w:lang w:val="lt-LT" w:eastAsia="lt-LT"/>
        </w:rPr>
        <w:t xml:space="preserve"> </w:t>
      </w:r>
      <w:r>
        <w:rPr>
          <w:sz w:val="22"/>
          <w:szCs w:val="22"/>
          <w:lang w:val="lt-LT" w:eastAsia="lt-LT"/>
        </w:rPr>
        <w:t>reikia vartoti</w:t>
      </w:r>
      <w:r w:rsidRPr="00021912">
        <w:rPr>
          <w:sz w:val="22"/>
          <w:szCs w:val="22"/>
          <w:lang w:val="lt-LT" w:eastAsia="lt-LT"/>
        </w:rPr>
        <w:t xml:space="preserve"> atsargiai.</w:t>
      </w:r>
    </w:p>
    <w:p w:rsidR="00111F16" w:rsidRDefault="00111F16" w:rsidP="00111F16">
      <w:pPr>
        <w:widowControl w:val="0"/>
        <w:outlineLvl w:val="0"/>
        <w:rPr>
          <w:sz w:val="22"/>
          <w:szCs w:val="22"/>
          <w:lang w:val="lt-LT" w:eastAsia="lt-LT"/>
        </w:rPr>
      </w:pPr>
    </w:p>
    <w:p w:rsidR="00111F16" w:rsidRPr="00542407" w:rsidRDefault="00111F16" w:rsidP="00111F16">
      <w:pPr>
        <w:widowControl w:val="0"/>
        <w:outlineLvl w:val="0"/>
        <w:rPr>
          <w:b/>
          <w:sz w:val="22"/>
          <w:szCs w:val="22"/>
          <w:lang w:val="lt-LT" w:eastAsia="lt-LT"/>
        </w:rPr>
      </w:pPr>
      <w:proofErr w:type="spellStart"/>
      <w:r w:rsidRPr="00542407">
        <w:rPr>
          <w:b/>
          <w:sz w:val="22"/>
          <w:szCs w:val="22"/>
          <w:lang w:val="lt-LT" w:eastAsia="lt-LT"/>
        </w:rPr>
        <w:t>Virolex</w:t>
      </w:r>
      <w:proofErr w:type="spellEnd"/>
      <w:r w:rsidRPr="00542407">
        <w:rPr>
          <w:b/>
          <w:sz w:val="22"/>
          <w:szCs w:val="22"/>
          <w:lang w:val="lt-LT" w:eastAsia="lt-LT"/>
        </w:rPr>
        <w:t xml:space="preserve"> vartojimas su maistu ir gėrimais</w:t>
      </w:r>
    </w:p>
    <w:p w:rsidR="00111F16" w:rsidRPr="00946E7B" w:rsidRDefault="00111F16" w:rsidP="00111F16">
      <w:pPr>
        <w:widowControl w:val="0"/>
        <w:outlineLvl w:val="0"/>
        <w:rPr>
          <w:sz w:val="22"/>
          <w:szCs w:val="22"/>
          <w:lang w:val="lt-LT" w:eastAsia="lt-LT"/>
        </w:rPr>
      </w:pPr>
      <w:r>
        <w:rPr>
          <w:sz w:val="22"/>
          <w:szCs w:val="22"/>
          <w:lang w:val="lt-LT" w:eastAsia="lt-LT"/>
        </w:rPr>
        <w:t xml:space="preserve">Gydymo </w:t>
      </w:r>
      <w:proofErr w:type="spellStart"/>
      <w:r>
        <w:rPr>
          <w:sz w:val="22"/>
          <w:szCs w:val="22"/>
          <w:lang w:val="lt-LT" w:eastAsia="lt-LT"/>
        </w:rPr>
        <w:t>Virolex</w:t>
      </w:r>
      <w:proofErr w:type="spellEnd"/>
      <w:r>
        <w:rPr>
          <w:sz w:val="22"/>
          <w:szCs w:val="22"/>
          <w:lang w:val="lt-LT" w:eastAsia="lt-LT"/>
        </w:rPr>
        <w:t xml:space="preserve"> laikotarpiu būtina vartoti pakankamai skysčių.</w:t>
      </w:r>
    </w:p>
    <w:p w:rsidR="00111F16" w:rsidRPr="0090237F" w:rsidRDefault="00111F16" w:rsidP="00111F16">
      <w:pPr>
        <w:pStyle w:val="Pagrindinistekstas"/>
        <w:widowControl w:val="0"/>
        <w:outlineLvl w:val="0"/>
        <w:rPr>
          <w:b/>
          <w:szCs w:val="22"/>
          <w:lang w:val="lt-LT"/>
        </w:rPr>
      </w:pPr>
    </w:p>
    <w:p w:rsidR="00111F16" w:rsidRPr="0090237F" w:rsidRDefault="00111F16" w:rsidP="00111F16">
      <w:pPr>
        <w:pStyle w:val="PI-3EMEASMCA"/>
        <w:widowControl w:val="0"/>
        <w:spacing w:line="240" w:lineRule="auto"/>
      </w:pPr>
      <w:r w:rsidRPr="0090237F">
        <w:t>Nėštumas</w:t>
      </w:r>
      <w:r>
        <w:t>,</w:t>
      </w:r>
      <w:r w:rsidRPr="0090237F">
        <w:t xml:space="preserve"> žindymo laikotarpis</w:t>
      </w:r>
      <w:r>
        <w:t xml:space="preserve"> ir vaisingumas</w:t>
      </w:r>
    </w:p>
    <w:p w:rsidR="00111F16" w:rsidRPr="0090237F" w:rsidRDefault="00111F16" w:rsidP="00111F16">
      <w:pPr>
        <w:pStyle w:val="Pagrindinistekstas"/>
        <w:widowControl w:val="0"/>
        <w:rPr>
          <w:i/>
          <w:szCs w:val="22"/>
          <w:lang w:val="lt-LT"/>
        </w:rPr>
      </w:pPr>
      <w:r w:rsidRPr="0090237F">
        <w:rPr>
          <w:szCs w:val="22"/>
          <w:lang w:val="lt-LT"/>
        </w:rPr>
        <w:t>Jei esate nėščia, žindote kūdikį, manote, kad galbūt esate nėščia</w:t>
      </w:r>
      <w:r>
        <w:rPr>
          <w:szCs w:val="22"/>
          <w:lang w:val="lt-LT"/>
        </w:rPr>
        <w:t>,</w:t>
      </w:r>
      <w:r w:rsidRPr="0090237F">
        <w:rPr>
          <w:szCs w:val="22"/>
          <w:lang w:val="lt-LT"/>
        </w:rPr>
        <w:t xml:space="preserve"> arba planuojate pastoti, tai prieš vartodama šį vaistą</w:t>
      </w:r>
      <w:r>
        <w:rPr>
          <w:szCs w:val="22"/>
          <w:lang w:val="lt-LT"/>
        </w:rPr>
        <w:t>,</w:t>
      </w:r>
      <w:r w:rsidRPr="0090237F">
        <w:rPr>
          <w:szCs w:val="22"/>
          <w:lang w:val="lt-LT"/>
        </w:rPr>
        <w:t xml:space="preserve"> pasitarkite su gydytoju arba vaistininku.</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 xml:space="preserve">Ar </w:t>
      </w:r>
      <w:proofErr w:type="spellStart"/>
      <w:r w:rsidRPr="0090237F">
        <w:rPr>
          <w:szCs w:val="22"/>
          <w:lang w:val="lt-LT"/>
        </w:rPr>
        <w:t>Virolex</w:t>
      </w:r>
      <w:proofErr w:type="spellEnd"/>
      <w:r w:rsidRPr="0090237F">
        <w:rPr>
          <w:szCs w:val="22"/>
          <w:lang w:val="lt-LT"/>
        </w:rPr>
        <w:t xml:space="preserve"> saugu vartoti nėštumo metu, galutinai neištirta, todėl nėščioms moterims gydytojas skiria šio vaisto tik kai infekcinė liga pavojinga gyvybei ir laukiamas gydomasis poveikis yra didesnis už </w:t>
      </w:r>
      <w:r>
        <w:rPr>
          <w:szCs w:val="22"/>
          <w:lang w:val="lt-LT"/>
        </w:rPr>
        <w:t>galimą riziką</w:t>
      </w:r>
      <w:r w:rsidRPr="0090237F">
        <w:rPr>
          <w:szCs w:val="22"/>
          <w:lang w:val="lt-LT"/>
        </w:rPr>
        <w:t xml:space="preserve"> vaisiui.</w:t>
      </w:r>
    </w:p>
    <w:p w:rsidR="00111F16" w:rsidRPr="0090237F" w:rsidRDefault="00111F16" w:rsidP="00111F16">
      <w:pPr>
        <w:pStyle w:val="Pagrindinistekstas"/>
        <w:widowControl w:val="0"/>
        <w:rPr>
          <w:szCs w:val="22"/>
          <w:lang w:val="lt-LT"/>
        </w:rPr>
      </w:pPr>
    </w:p>
    <w:p w:rsidR="00111F16" w:rsidRDefault="00111F16" w:rsidP="00111F16">
      <w:pPr>
        <w:widowControl w:val="0"/>
        <w:ind w:right="-143"/>
        <w:rPr>
          <w:sz w:val="22"/>
          <w:szCs w:val="22"/>
        </w:rPr>
      </w:pPr>
      <w:r w:rsidRPr="0090237F">
        <w:rPr>
          <w:sz w:val="22"/>
          <w:szCs w:val="22"/>
        </w:rPr>
        <w:t xml:space="preserve">Acikloviro </w:t>
      </w:r>
      <w:r>
        <w:rPr>
          <w:sz w:val="22"/>
          <w:szCs w:val="22"/>
        </w:rPr>
        <w:t>patenka</w:t>
      </w:r>
      <w:r w:rsidRPr="0090237F">
        <w:rPr>
          <w:sz w:val="22"/>
          <w:szCs w:val="22"/>
        </w:rPr>
        <w:t xml:space="preserve"> į motinos pieną, todėl krūtimi maitinančiai moteriai Virolex rekomenduojama vartoti atsargiai.</w:t>
      </w:r>
    </w:p>
    <w:p w:rsidR="00111F16" w:rsidRDefault="00111F16" w:rsidP="00111F16">
      <w:pPr>
        <w:widowControl w:val="0"/>
        <w:ind w:right="-143"/>
        <w:rPr>
          <w:sz w:val="22"/>
          <w:szCs w:val="22"/>
        </w:rPr>
      </w:pPr>
    </w:p>
    <w:p w:rsidR="00111F16" w:rsidRPr="00021912" w:rsidRDefault="00111F16" w:rsidP="00111F16">
      <w:pPr>
        <w:widowControl w:val="0"/>
        <w:outlineLvl w:val="0"/>
        <w:rPr>
          <w:sz w:val="22"/>
          <w:szCs w:val="22"/>
          <w:lang w:val="lt-LT" w:eastAsia="lt-LT"/>
        </w:rPr>
      </w:pPr>
      <w:r w:rsidRPr="00021912">
        <w:rPr>
          <w:b/>
          <w:sz w:val="22"/>
          <w:szCs w:val="22"/>
          <w:lang w:val="lt-LT" w:eastAsia="lt-LT"/>
        </w:rPr>
        <w:t>Vairavimas ir mechanizmų valdymas</w:t>
      </w:r>
    </w:p>
    <w:p w:rsidR="00111F16" w:rsidRPr="0090237F" w:rsidRDefault="00111F16" w:rsidP="00111F16">
      <w:pPr>
        <w:widowControl w:val="0"/>
        <w:ind w:right="-143"/>
        <w:rPr>
          <w:sz w:val="22"/>
          <w:szCs w:val="22"/>
        </w:rPr>
      </w:pPr>
      <w:proofErr w:type="spellStart"/>
      <w:r w:rsidRPr="00021912">
        <w:rPr>
          <w:sz w:val="22"/>
          <w:szCs w:val="22"/>
          <w:lang w:val="lt-LT" w:eastAsia="lt-LT"/>
        </w:rPr>
        <w:t>Acikloviro</w:t>
      </w:r>
      <w:proofErr w:type="spellEnd"/>
      <w:r w:rsidRPr="00021912">
        <w:rPr>
          <w:sz w:val="22"/>
          <w:szCs w:val="22"/>
          <w:lang w:val="lt-LT" w:eastAsia="lt-LT"/>
        </w:rPr>
        <w:t xml:space="preserve"> poveikis gebėjimui vairuoti ir valdyti mechanizmus netirtas</w:t>
      </w:r>
      <w:r>
        <w:rPr>
          <w:sz w:val="22"/>
          <w:szCs w:val="22"/>
          <w:lang w:val="lt-LT" w:eastAsia="lt-LT"/>
        </w:rPr>
        <w:t xml:space="preserve">, be to, į veną leidžiamas </w:t>
      </w:r>
      <w:proofErr w:type="spellStart"/>
      <w:r>
        <w:rPr>
          <w:sz w:val="22"/>
          <w:szCs w:val="22"/>
          <w:lang w:val="lt-LT" w:eastAsia="lt-LT"/>
        </w:rPr>
        <w:t>acikloviras</w:t>
      </w:r>
      <w:proofErr w:type="spellEnd"/>
      <w:r>
        <w:rPr>
          <w:sz w:val="22"/>
          <w:szCs w:val="22"/>
          <w:lang w:val="lt-LT" w:eastAsia="lt-LT"/>
        </w:rPr>
        <w:t xml:space="preserve"> skiriamas gydymui ligoninėje, todėl galimas poveikis vairavimui ir mechanizmų valdymui neaktualus.</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proofErr w:type="spellStart"/>
      <w:r w:rsidRPr="0090237F">
        <w:rPr>
          <w:b/>
          <w:szCs w:val="22"/>
          <w:lang w:val="lt-LT"/>
        </w:rPr>
        <w:t>Virolex</w:t>
      </w:r>
      <w:proofErr w:type="spellEnd"/>
      <w:r w:rsidRPr="0090237F">
        <w:rPr>
          <w:b/>
          <w:szCs w:val="22"/>
          <w:lang w:val="lt-LT"/>
        </w:rPr>
        <w:t xml:space="preserve"> sudėtyje yra natrio</w:t>
      </w:r>
    </w:p>
    <w:p w:rsidR="00111F16" w:rsidRPr="00A43A0B" w:rsidRDefault="00111F16" w:rsidP="00111F16">
      <w:pPr>
        <w:pStyle w:val="Pagrindinistekstas"/>
        <w:widowControl w:val="0"/>
        <w:rPr>
          <w:szCs w:val="22"/>
          <w:lang w:val="lt-LT" w:eastAsia="en-US"/>
        </w:rPr>
      </w:pPr>
      <w:r w:rsidRPr="0090237F">
        <w:rPr>
          <w:szCs w:val="22"/>
          <w:lang w:val="lt-LT"/>
        </w:rPr>
        <w:t>Šio vaisto viename buteliuke yra 23,3 mg natrio</w:t>
      </w:r>
      <w:r>
        <w:rPr>
          <w:szCs w:val="22"/>
          <w:lang w:val="lt-LT"/>
        </w:rPr>
        <w:t xml:space="preserve"> (valgomosios druskos sudedamosios dalies)</w:t>
      </w:r>
      <w:r w:rsidRPr="0090237F">
        <w:rPr>
          <w:szCs w:val="22"/>
          <w:lang w:val="lt-LT"/>
        </w:rPr>
        <w:t xml:space="preserve">. </w:t>
      </w:r>
      <w:r>
        <w:rPr>
          <w:szCs w:val="22"/>
          <w:lang w:val="lt-LT"/>
        </w:rPr>
        <w:t xml:space="preserve">Tai atitinka </w:t>
      </w:r>
      <w:r>
        <w:rPr>
          <w:szCs w:val="22"/>
        </w:rPr>
        <w:t>1,165</w:t>
      </w:r>
      <w:r w:rsidRPr="00A43A0B">
        <w:rPr>
          <w:szCs w:val="22"/>
          <w:lang w:val="lt-LT" w:eastAsia="en-US"/>
        </w:rPr>
        <w:t>% didžiausios rekomenduojamos natrio paros normos suaugusiems.</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outlineLvl w:val="0"/>
        <w:rPr>
          <w:szCs w:val="22"/>
          <w:lang w:val="lt-LT"/>
        </w:rPr>
      </w:pPr>
    </w:p>
    <w:p w:rsidR="00111F16" w:rsidRPr="0090237F" w:rsidRDefault="00111F16" w:rsidP="00111F16">
      <w:pPr>
        <w:pStyle w:val="Pagrindinistekstas"/>
        <w:widowControl w:val="0"/>
        <w:ind w:left="540" w:hanging="540"/>
        <w:outlineLvl w:val="0"/>
        <w:rPr>
          <w:b/>
          <w:szCs w:val="22"/>
          <w:lang w:val="lt-LT"/>
        </w:rPr>
      </w:pPr>
      <w:r w:rsidRPr="0090237F">
        <w:rPr>
          <w:b/>
          <w:szCs w:val="22"/>
          <w:lang w:val="lt-LT"/>
        </w:rPr>
        <w:t>3.</w:t>
      </w:r>
      <w:r w:rsidRPr="0090237F">
        <w:rPr>
          <w:b/>
          <w:szCs w:val="22"/>
          <w:lang w:val="lt-LT"/>
        </w:rPr>
        <w:tab/>
        <w:t xml:space="preserve">Kaip </w:t>
      </w:r>
      <w:proofErr w:type="spellStart"/>
      <w:r w:rsidRPr="0090237F">
        <w:rPr>
          <w:b/>
          <w:szCs w:val="22"/>
          <w:lang w:val="lt-LT"/>
        </w:rPr>
        <w:t>vatoti</w:t>
      </w:r>
      <w:proofErr w:type="spellEnd"/>
      <w:r w:rsidRPr="0090237F">
        <w:rPr>
          <w:b/>
          <w:szCs w:val="22"/>
          <w:lang w:val="lt-LT"/>
        </w:rPr>
        <w:t xml:space="preserve"> </w:t>
      </w:r>
      <w:proofErr w:type="spellStart"/>
      <w:r w:rsidRPr="0090237F">
        <w:rPr>
          <w:b/>
          <w:szCs w:val="22"/>
          <w:lang w:val="lt-LT"/>
        </w:rPr>
        <w:t>Virolex</w:t>
      </w:r>
      <w:proofErr w:type="spellEnd"/>
    </w:p>
    <w:p w:rsidR="00111F16" w:rsidRPr="0090237F" w:rsidRDefault="00111F16" w:rsidP="00111F16">
      <w:pPr>
        <w:pStyle w:val="Pagrindinistekstas"/>
        <w:widowControl w:val="0"/>
        <w:rPr>
          <w:b/>
          <w:szCs w:val="22"/>
          <w:lang w:val="lt-LT"/>
        </w:rPr>
      </w:pPr>
    </w:p>
    <w:p w:rsidR="00111F16" w:rsidRPr="0090237F" w:rsidRDefault="00111F16" w:rsidP="00111F16">
      <w:pPr>
        <w:pStyle w:val="Pagrindinistekstas"/>
        <w:widowControl w:val="0"/>
        <w:outlineLvl w:val="0"/>
        <w:rPr>
          <w:b/>
          <w:szCs w:val="22"/>
          <w:lang w:val="lt-LT"/>
        </w:rPr>
      </w:pPr>
      <w:r w:rsidRPr="0090237F">
        <w:rPr>
          <w:szCs w:val="22"/>
          <w:lang w:val="lt-LT"/>
        </w:rPr>
        <w:t>Visada vartokite šį vaistą tiksliai kaip nurodė gydytojas. Jeigu abejojate, kreipkitės į gydytoją.</w:t>
      </w:r>
    </w:p>
    <w:p w:rsidR="00111F16" w:rsidRPr="0090237F" w:rsidRDefault="00111F16" w:rsidP="00111F16">
      <w:pPr>
        <w:pStyle w:val="Pagrindinistekstas"/>
        <w:widowControl w:val="0"/>
        <w:rPr>
          <w:i/>
          <w:szCs w:val="22"/>
          <w:lang w:val="lt-LT"/>
        </w:rPr>
      </w:pPr>
    </w:p>
    <w:p w:rsidR="00111F16" w:rsidRPr="0090237F" w:rsidRDefault="00111F16" w:rsidP="00111F16">
      <w:pPr>
        <w:pStyle w:val="Pagrindinistekstas"/>
        <w:widowControl w:val="0"/>
        <w:rPr>
          <w:szCs w:val="22"/>
          <w:lang w:val="lt-LT"/>
        </w:rPr>
      </w:pPr>
      <w:r w:rsidRPr="0090237F">
        <w:rPr>
          <w:szCs w:val="22"/>
          <w:lang w:val="lt-LT"/>
        </w:rPr>
        <w:t xml:space="preserve">Labai svarbu </w:t>
      </w:r>
      <w:proofErr w:type="spellStart"/>
      <w:r w:rsidRPr="0090237F">
        <w:rPr>
          <w:szCs w:val="22"/>
          <w:lang w:val="lt-LT"/>
        </w:rPr>
        <w:t>aciklovirą</w:t>
      </w:r>
      <w:proofErr w:type="spellEnd"/>
      <w:r w:rsidRPr="0090237F">
        <w:rPr>
          <w:szCs w:val="22"/>
          <w:lang w:val="lt-LT"/>
        </w:rPr>
        <w:t xml:space="preserve"> pradėti vartoti kuo anksčiau, kai tik atsiranda pirmieji ligos požymiai.</w:t>
      </w:r>
    </w:p>
    <w:p w:rsidR="00111F16" w:rsidRPr="0090237F" w:rsidRDefault="00111F16" w:rsidP="00111F16">
      <w:pPr>
        <w:pStyle w:val="Pagrindinistekstas"/>
        <w:widowControl w:val="0"/>
        <w:rPr>
          <w:szCs w:val="22"/>
          <w:lang w:val="lt-LT"/>
        </w:rPr>
      </w:pPr>
    </w:p>
    <w:p w:rsidR="00111F16" w:rsidRPr="0090237F" w:rsidRDefault="00111F16" w:rsidP="00111F16">
      <w:pPr>
        <w:widowControl w:val="0"/>
        <w:ind w:right="-143"/>
        <w:rPr>
          <w:sz w:val="22"/>
          <w:szCs w:val="22"/>
        </w:rPr>
      </w:pPr>
      <w:r w:rsidRPr="0090237F">
        <w:rPr>
          <w:sz w:val="22"/>
          <w:szCs w:val="22"/>
        </w:rPr>
        <w:t xml:space="preserve">Į veną acikloviro visada </w:t>
      </w:r>
      <w:r>
        <w:rPr>
          <w:sz w:val="22"/>
          <w:szCs w:val="22"/>
        </w:rPr>
        <w:t>leidžiama</w:t>
      </w:r>
      <w:r w:rsidRPr="0090237F">
        <w:rPr>
          <w:sz w:val="22"/>
          <w:szCs w:val="22"/>
        </w:rPr>
        <w:t xml:space="preserve"> lėtai (infuzija turi trukti mažiausiai vieną valandą).</w:t>
      </w:r>
    </w:p>
    <w:p w:rsidR="00111F16" w:rsidRPr="0090237F" w:rsidRDefault="00111F16" w:rsidP="00111F16">
      <w:pPr>
        <w:widowControl w:val="0"/>
        <w:ind w:right="-143"/>
        <w:rPr>
          <w:sz w:val="22"/>
          <w:szCs w:val="22"/>
        </w:rPr>
      </w:pPr>
    </w:p>
    <w:p w:rsidR="00111F16" w:rsidRPr="0090237F" w:rsidRDefault="00111F16" w:rsidP="00111F16">
      <w:pPr>
        <w:widowControl w:val="0"/>
        <w:rPr>
          <w:sz w:val="22"/>
          <w:szCs w:val="22"/>
        </w:rPr>
      </w:pPr>
      <w:r w:rsidRPr="0090237F">
        <w:rPr>
          <w:sz w:val="22"/>
          <w:szCs w:val="22"/>
        </w:rPr>
        <w:t xml:space="preserve">Paprastai gydoma 5 dienas, bet atsižvelgiant į paciento būklę bei reakciją į gydymą, </w:t>
      </w:r>
      <w:r>
        <w:rPr>
          <w:sz w:val="22"/>
          <w:szCs w:val="22"/>
        </w:rPr>
        <w:t>gydymo trukmė gali būti keičiama</w:t>
      </w:r>
      <w:r w:rsidRPr="0090237F">
        <w:rPr>
          <w:sz w:val="22"/>
          <w:szCs w:val="22"/>
        </w:rPr>
        <w:t>. Herpetinis encefalitas bei naujagimių paprastosios pūslelinės sukelta infekcinė liga paprastai gydoma 10 dienų.</w:t>
      </w:r>
    </w:p>
    <w:p w:rsidR="00111F16" w:rsidRPr="0090237F" w:rsidRDefault="00111F16" w:rsidP="00111F16">
      <w:pPr>
        <w:widowControl w:val="0"/>
        <w:rPr>
          <w:i/>
          <w:iCs/>
          <w:sz w:val="22"/>
          <w:szCs w:val="22"/>
        </w:rPr>
      </w:pPr>
    </w:p>
    <w:p w:rsidR="00111F16" w:rsidRPr="00332F05" w:rsidRDefault="00111F16" w:rsidP="00111F16">
      <w:pPr>
        <w:widowControl w:val="0"/>
        <w:rPr>
          <w:b/>
          <w:sz w:val="22"/>
        </w:rPr>
      </w:pPr>
      <w:r w:rsidRPr="00332F05">
        <w:rPr>
          <w:b/>
          <w:sz w:val="22"/>
        </w:rPr>
        <w:t>Suaugusieji</w:t>
      </w:r>
    </w:p>
    <w:p w:rsidR="00111F16" w:rsidRPr="0090237F" w:rsidRDefault="00111F16" w:rsidP="00111F16">
      <w:pPr>
        <w:widowControl w:val="0"/>
        <w:rPr>
          <w:sz w:val="22"/>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90"/>
        <w:gridCol w:w="5400"/>
      </w:tblGrid>
      <w:tr w:rsidR="00111F16" w:rsidRPr="0090237F" w:rsidTr="00F16D93">
        <w:tc>
          <w:tcPr>
            <w:tcW w:w="3690"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rPr>
                <w:b/>
                <w:sz w:val="22"/>
              </w:rPr>
            </w:pPr>
            <w:r w:rsidRPr="00332F05">
              <w:rPr>
                <w:b/>
                <w:sz w:val="22"/>
              </w:rPr>
              <w:lastRenderedPageBreak/>
              <w:t>Indikacija</w:t>
            </w:r>
          </w:p>
        </w:tc>
        <w:tc>
          <w:tcPr>
            <w:tcW w:w="5400"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ind w:right="-1"/>
              <w:jc w:val="center"/>
              <w:rPr>
                <w:b/>
                <w:sz w:val="22"/>
              </w:rPr>
            </w:pPr>
            <w:r w:rsidRPr="00332F05">
              <w:rPr>
                <w:b/>
                <w:sz w:val="22"/>
              </w:rPr>
              <w:t xml:space="preserve">Dozavimas suaugusiems žmonėms </w:t>
            </w:r>
          </w:p>
        </w:tc>
      </w:tr>
      <w:tr w:rsidR="00111F16" w:rsidRPr="0090237F" w:rsidTr="00F16D93">
        <w:tc>
          <w:tcPr>
            <w:tcW w:w="369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45"/>
              <w:jc w:val="both"/>
              <w:rPr>
                <w:sz w:val="22"/>
                <w:szCs w:val="22"/>
              </w:rPr>
            </w:pPr>
            <w:r w:rsidRPr="0090237F">
              <w:rPr>
                <w:sz w:val="22"/>
                <w:szCs w:val="22"/>
              </w:rPr>
              <w:t>Paprastosios pūslelinės virusų sukeltos ligos</w:t>
            </w:r>
          </w:p>
        </w:tc>
        <w:tc>
          <w:tcPr>
            <w:tcW w:w="540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5 mg/kg kūno svorio kas 8 valandas</w:t>
            </w:r>
          </w:p>
        </w:tc>
      </w:tr>
      <w:tr w:rsidR="00111F16" w:rsidRPr="0090237F" w:rsidTr="00F16D93">
        <w:tc>
          <w:tcPr>
            <w:tcW w:w="369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pStyle w:val="Pagrindinistekstas"/>
              <w:widowControl w:val="0"/>
              <w:ind w:right="45"/>
              <w:rPr>
                <w:szCs w:val="22"/>
                <w:lang w:val="lt-LT"/>
              </w:rPr>
            </w:pPr>
            <w:proofErr w:type="spellStart"/>
            <w:r w:rsidRPr="0090237F">
              <w:rPr>
                <w:szCs w:val="22"/>
                <w:lang w:val="lt-LT"/>
              </w:rPr>
              <w:t>Herpetinis</w:t>
            </w:r>
            <w:proofErr w:type="spellEnd"/>
            <w:r w:rsidRPr="0090237F">
              <w:rPr>
                <w:szCs w:val="22"/>
                <w:lang w:val="lt-LT"/>
              </w:rPr>
              <w:t xml:space="preserve"> encefalitas</w:t>
            </w:r>
          </w:p>
        </w:tc>
        <w:tc>
          <w:tcPr>
            <w:tcW w:w="540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10 mg/kg kūno svorio kas 8 valandas</w:t>
            </w:r>
          </w:p>
        </w:tc>
      </w:tr>
      <w:tr w:rsidR="00111F16" w:rsidRPr="0090237F" w:rsidTr="00F16D93">
        <w:tc>
          <w:tcPr>
            <w:tcW w:w="369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45"/>
              <w:rPr>
                <w:sz w:val="22"/>
                <w:szCs w:val="22"/>
              </w:rPr>
            </w:pPr>
            <w:r w:rsidRPr="0090237F">
              <w:rPr>
                <w:sz w:val="22"/>
                <w:szCs w:val="22"/>
              </w:rPr>
              <w:t xml:space="preserve">Juostinės pūslelinės sukeltos ligos žmonėms, kurių organizmo imuninis atsakas yra pakankamas </w:t>
            </w:r>
          </w:p>
        </w:tc>
        <w:tc>
          <w:tcPr>
            <w:tcW w:w="540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5 mg/kg kūno svorio kas 8 valandas</w:t>
            </w:r>
          </w:p>
        </w:tc>
      </w:tr>
      <w:tr w:rsidR="00111F16" w:rsidRPr="0090237F" w:rsidTr="00F16D93">
        <w:tc>
          <w:tcPr>
            <w:tcW w:w="369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45"/>
              <w:rPr>
                <w:i/>
                <w:iCs/>
                <w:sz w:val="22"/>
                <w:szCs w:val="22"/>
              </w:rPr>
            </w:pPr>
            <w:r w:rsidRPr="0090237F">
              <w:rPr>
                <w:sz w:val="22"/>
                <w:szCs w:val="22"/>
              </w:rPr>
              <w:t>Juostinės pūslelinės sukeltos ligos žmonėms, kurių organizmo imuninis atsakas yra nepakankamas</w:t>
            </w:r>
          </w:p>
        </w:tc>
        <w:tc>
          <w:tcPr>
            <w:tcW w:w="5400"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10 mg/kg kūno svorio kas 8 valandas</w:t>
            </w:r>
          </w:p>
        </w:tc>
      </w:tr>
    </w:tbl>
    <w:p w:rsidR="00111F16" w:rsidRPr="0090237F" w:rsidRDefault="00111F16" w:rsidP="00111F16">
      <w:pPr>
        <w:widowControl w:val="0"/>
        <w:tabs>
          <w:tab w:val="left" w:pos="520"/>
        </w:tabs>
        <w:rPr>
          <w:sz w:val="22"/>
          <w:szCs w:val="22"/>
        </w:rPr>
      </w:pPr>
    </w:p>
    <w:p w:rsidR="00111F16" w:rsidRPr="0090237F" w:rsidRDefault="00111F16" w:rsidP="00111F16">
      <w:pPr>
        <w:widowControl w:val="0"/>
        <w:tabs>
          <w:tab w:val="left" w:pos="520"/>
        </w:tabs>
        <w:rPr>
          <w:sz w:val="22"/>
          <w:szCs w:val="22"/>
        </w:rPr>
      </w:pPr>
      <w:r w:rsidRPr="0090237F">
        <w:rPr>
          <w:sz w:val="22"/>
          <w:szCs w:val="22"/>
        </w:rPr>
        <w:t>Profilaktinio acikloviro vartojimo trukmė nustatoma atsižvelgiant į pavojingo laikotarpio trukmę.</w:t>
      </w:r>
    </w:p>
    <w:p w:rsidR="00111F16" w:rsidRPr="0090237F" w:rsidRDefault="00111F16" w:rsidP="00111F16">
      <w:pPr>
        <w:widowControl w:val="0"/>
        <w:rPr>
          <w:sz w:val="22"/>
          <w:szCs w:val="22"/>
        </w:rPr>
      </w:pPr>
      <w:r w:rsidRPr="0090237F">
        <w:rPr>
          <w:sz w:val="22"/>
          <w:szCs w:val="22"/>
        </w:rPr>
        <w:t xml:space="preserve">Acikloviro dozę suaugusiems žmonėms, kurių inkstų funkcija sutrikusi, </w:t>
      </w:r>
      <w:r>
        <w:rPr>
          <w:sz w:val="22"/>
          <w:szCs w:val="22"/>
        </w:rPr>
        <w:t>gydytojas atitinkamai sumažins,</w:t>
      </w:r>
      <w:r w:rsidRPr="0090237F">
        <w:rPr>
          <w:sz w:val="22"/>
          <w:szCs w:val="22"/>
        </w:rPr>
        <w:t xml:space="preserve"> atsižvelgiant į inkstų funkcijos sutrikimo sunkumą.</w:t>
      </w:r>
    </w:p>
    <w:p w:rsidR="00111F16" w:rsidRPr="0090237F" w:rsidRDefault="00111F16" w:rsidP="00111F16">
      <w:pPr>
        <w:widowControl w:val="0"/>
        <w:rPr>
          <w:sz w:val="22"/>
          <w:szCs w:val="22"/>
        </w:rPr>
      </w:pPr>
    </w:p>
    <w:p w:rsidR="00111F16" w:rsidRPr="0090237F" w:rsidRDefault="00111F16" w:rsidP="00111F16">
      <w:pPr>
        <w:widowControl w:val="0"/>
        <w:rPr>
          <w:b/>
          <w:sz w:val="22"/>
          <w:szCs w:val="22"/>
        </w:rPr>
      </w:pPr>
      <w:r w:rsidRPr="0090237F">
        <w:rPr>
          <w:b/>
          <w:sz w:val="22"/>
          <w:szCs w:val="22"/>
        </w:rPr>
        <w:t>Vartojimas vaikams</w:t>
      </w:r>
    </w:p>
    <w:p w:rsidR="00111F16" w:rsidRPr="0090237F" w:rsidDel="00F76D03" w:rsidRDefault="00111F16" w:rsidP="00111F16">
      <w:pPr>
        <w:widowControl w:val="0"/>
        <w:rPr>
          <w:sz w:val="22"/>
          <w:szCs w:val="22"/>
        </w:rPr>
      </w:pPr>
      <w:r w:rsidRPr="0090237F">
        <w:rPr>
          <w:sz w:val="22"/>
          <w:szCs w:val="22"/>
        </w:rPr>
        <w:t>3 mėnesių – 12 metų vaikams dozė apskaičiuojama pagal kūno paviršiaus plotą.</w:t>
      </w:r>
    </w:p>
    <w:p w:rsidR="00111F16" w:rsidRPr="0090237F" w:rsidRDefault="00111F16" w:rsidP="00111F16">
      <w:pPr>
        <w:widowControl w:val="0"/>
        <w:rPr>
          <w:sz w:val="22"/>
          <w:szCs w:val="22"/>
        </w:rPr>
      </w:pPr>
    </w:p>
    <w:tbl>
      <w:tblPr>
        <w:tblW w:w="92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6"/>
        <w:gridCol w:w="3248"/>
        <w:gridCol w:w="2976"/>
      </w:tblGrid>
      <w:tr w:rsidR="00111F16" w:rsidRPr="0090237F" w:rsidTr="00F16D93">
        <w:tc>
          <w:tcPr>
            <w:tcW w:w="2988"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rPr>
                <w:b/>
                <w:sz w:val="22"/>
              </w:rPr>
            </w:pPr>
            <w:r w:rsidRPr="00332F05">
              <w:rPr>
                <w:b/>
                <w:sz w:val="22"/>
              </w:rPr>
              <w:t xml:space="preserve">Indikacija </w:t>
            </w:r>
          </w:p>
        </w:tc>
        <w:tc>
          <w:tcPr>
            <w:tcW w:w="3249"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ind w:right="-108"/>
              <w:jc w:val="center"/>
              <w:rPr>
                <w:b/>
                <w:sz w:val="22"/>
              </w:rPr>
            </w:pPr>
            <w:r w:rsidRPr="00332F05">
              <w:rPr>
                <w:b/>
                <w:sz w:val="22"/>
              </w:rPr>
              <w:t>Dozavimas</w:t>
            </w:r>
          </w:p>
          <w:p w:rsidR="00111F16" w:rsidRPr="00332F05" w:rsidRDefault="00111F16" w:rsidP="00F16D93">
            <w:pPr>
              <w:widowControl w:val="0"/>
              <w:ind w:right="-1"/>
              <w:jc w:val="center"/>
              <w:rPr>
                <w:b/>
                <w:sz w:val="22"/>
              </w:rPr>
            </w:pPr>
            <w:r w:rsidRPr="00332F05">
              <w:rPr>
                <w:b/>
                <w:sz w:val="22"/>
              </w:rPr>
              <w:t>vyresniems nei 12 metų vaikams</w:t>
            </w:r>
          </w:p>
        </w:tc>
        <w:tc>
          <w:tcPr>
            <w:tcW w:w="2977"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ind w:right="-108"/>
              <w:jc w:val="center"/>
              <w:rPr>
                <w:b/>
                <w:sz w:val="22"/>
              </w:rPr>
            </w:pPr>
            <w:r w:rsidRPr="00332F05">
              <w:rPr>
                <w:b/>
                <w:sz w:val="22"/>
              </w:rPr>
              <w:t>Dozavimas</w:t>
            </w:r>
          </w:p>
          <w:p w:rsidR="00111F16" w:rsidRPr="00332F05" w:rsidRDefault="00111F16" w:rsidP="00F16D93">
            <w:pPr>
              <w:widowControl w:val="0"/>
              <w:ind w:right="-1"/>
              <w:jc w:val="center"/>
              <w:rPr>
                <w:b/>
                <w:sz w:val="22"/>
              </w:rPr>
            </w:pPr>
            <w:r w:rsidRPr="00332F05">
              <w:rPr>
                <w:b/>
                <w:sz w:val="22"/>
              </w:rPr>
              <w:t xml:space="preserve">3 mėnesių - 12 metų vaikams </w:t>
            </w:r>
          </w:p>
        </w:tc>
      </w:tr>
      <w:tr w:rsidR="00111F16" w:rsidRPr="0090237F" w:rsidTr="00F16D93">
        <w:tc>
          <w:tcPr>
            <w:tcW w:w="2988"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45"/>
              <w:jc w:val="both"/>
              <w:rPr>
                <w:sz w:val="22"/>
                <w:szCs w:val="22"/>
              </w:rPr>
            </w:pPr>
            <w:r w:rsidRPr="0090237F">
              <w:rPr>
                <w:sz w:val="22"/>
                <w:szCs w:val="22"/>
              </w:rPr>
              <w:t>Paprastosios pūslelinės virusų sukeltų ligų gydymas</w:t>
            </w:r>
            <w:r w:rsidRPr="0090237F">
              <w:rPr>
                <w:i/>
                <w:iCs/>
                <w:sz w:val="22"/>
                <w:szCs w:val="22"/>
              </w:rPr>
              <w:t xml:space="preserve"> </w:t>
            </w:r>
          </w:p>
        </w:tc>
        <w:tc>
          <w:tcPr>
            <w:tcW w:w="3249"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5 mg/kg kūno svorio kas 8 valandas</w:t>
            </w:r>
          </w:p>
        </w:tc>
        <w:tc>
          <w:tcPr>
            <w:tcW w:w="2977"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250 mg/m</w:t>
            </w:r>
            <w:r w:rsidRPr="0090237F">
              <w:rPr>
                <w:sz w:val="22"/>
                <w:szCs w:val="22"/>
                <w:vertAlign w:val="superscript"/>
              </w:rPr>
              <w:t>2</w:t>
            </w:r>
            <w:r w:rsidRPr="0090237F">
              <w:rPr>
                <w:sz w:val="22"/>
                <w:szCs w:val="22"/>
              </w:rPr>
              <w:t xml:space="preserve"> kūno paviršiaus ploto kas 8 valandas </w:t>
            </w:r>
          </w:p>
        </w:tc>
      </w:tr>
      <w:tr w:rsidR="00111F16" w:rsidRPr="0090237F" w:rsidTr="00F16D93">
        <w:tc>
          <w:tcPr>
            <w:tcW w:w="2988"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pStyle w:val="Pagrindinistekstas"/>
              <w:widowControl w:val="0"/>
              <w:ind w:right="45"/>
              <w:rPr>
                <w:szCs w:val="22"/>
                <w:lang w:val="lt-LT"/>
              </w:rPr>
            </w:pPr>
            <w:proofErr w:type="spellStart"/>
            <w:r w:rsidRPr="0090237F">
              <w:rPr>
                <w:szCs w:val="22"/>
                <w:lang w:val="lt-LT"/>
              </w:rPr>
              <w:t>Herpetinis</w:t>
            </w:r>
            <w:proofErr w:type="spellEnd"/>
            <w:r w:rsidRPr="0090237F">
              <w:rPr>
                <w:szCs w:val="22"/>
                <w:lang w:val="lt-LT"/>
              </w:rPr>
              <w:t xml:space="preserve"> encefalitas </w:t>
            </w:r>
          </w:p>
        </w:tc>
        <w:tc>
          <w:tcPr>
            <w:tcW w:w="3249"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10 mg/kg kūno svorio kas 8 valandas</w:t>
            </w:r>
          </w:p>
        </w:tc>
        <w:tc>
          <w:tcPr>
            <w:tcW w:w="2977"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500 mg/m</w:t>
            </w:r>
            <w:r w:rsidRPr="0090237F">
              <w:rPr>
                <w:sz w:val="22"/>
                <w:szCs w:val="22"/>
                <w:vertAlign w:val="superscript"/>
              </w:rPr>
              <w:t>2</w:t>
            </w:r>
            <w:r w:rsidRPr="0090237F">
              <w:rPr>
                <w:sz w:val="22"/>
                <w:szCs w:val="22"/>
              </w:rPr>
              <w:t xml:space="preserve"> kūno paviršiaus ploto kas 8 valandas </w:t>
            </w:r>
          </w:p>
        </w:tc>
      </w:tr>
      <w:tr w:rsidR="00111F16" w:rsidRPr="0090237F" w:rsidTr="00F16D93">
        <w:tc>
          <w:tcPr>
            <w:tcW w:w="2988"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45"/>
              <w:rPr>
                <w:sz w:val="22"/>
                <w:szCs w:val="22"/>
              </w:rPr>
            </w:pPr>
            <w:r w:rsidRPr="0090237F">
              <w:rPr>
                <w:sz w:val="22"/>
                <w:szCs w:val="22"/>
              </w:rPr>
              <w:t>Juostinės pūslelinės virusų sukeltos ligos</w:t>
            </w:r>
          </w:p>
        </w:tc>
        <w:tc>
          <w:tcPr>
            <w:tcW w:w="3249"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5 mg/kg kūno svorio kas 8 valandas</w:t>
            </w:r>
          </w:p>
        </w:tc>
        <w:tc>
          <w:tcPr>
            <w:tcW w:w="2977"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250 mg/m</w:t>
            </w:r>
            <w:r w:rsidRPr="0090237F">
              <w:rPr>
                <w:sz w:val="22"/>
                <w:szCs w:val="22"/>
                <w:vertAlign w:val="superscript"/>
              </w:rPr>
              <w:t>2</w:t>
            </w:r>
            <w:r w:rsidRPr="0090237F">
              <w:rPr>
                <w:sz w:val="22"/>
                <w:szCs w:val="22"/>
              </w:rPr>
              <w:t xml:space="preserve"> kūno paviršiaus ploto kas 8 valandas </w:t>
            </w:r>
          </w:p>
        </w:tc>
      </w:tr>
      <w:tr w:rsidR="00111F16" w:rsidRPr="0090237F" w:rsidTr="00F16D93">
        <w:trPr>
          <w:trHeight w:val="991"/>
        </w:trPr>
        <w:tc>
          <w:tcPr>
            <w:tcW w:w="2988"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45"/>
              <w:rPr>
                <w:i/>
                <w:iCs/>
                <w:sz w:val="22"/>
                <w:szCs w:val="22"/>
              </w:rPr>
            </w:pPr>
            <w:r w:rsidRPr="0090237F">
              <w:rPr>
                <w:sz w:val="22"/>
                <w:szCs w:val="22"/>
              </w:rPr>
              <w:t>Juostinės pūslelinės sukeltos ligos vaikams, kurių organizmo imuninis atsakas yra nepakankamas</w:t>
            </w:r>
          </w:p>
        </w:tc>
        <w:tc>
          <w:tcPr>
            <w:tcW w:w="3249"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10 mg/kg kūno svorio kas 8 valandas</w:t>
            </w:r>
          </w:p>
        </w:tc>
        <w:tc>
          <w:tcPr>
            <w:tcW w:w="2977" w:type="dxa"/>
            <w:tcBorders>
              <w:top w:val="single" w:sz="6" w:space="0" w:color="auto"/>
              <w:left w:val="single" w:sz="6" w:space="0" w:color="auto"/>
              <w:bottom w:val="single" w:sz="6" w:space="0" w:color="auto"/>
              <w:right w:val="single" w:sz="6" w:space="0" w:color="auto"/>
            </w:tcBorders>
          </w:tcPr>
          <w:p w:rsidR="00111F16" w:rsidRPr="0090237F" w:rsidRDefault="00111F16" w:rsidP="00F16D93">
            <w:pPr>
              <w:widowControl w:val="0"/>
              <w:ind w:right="-1"/>
              <w:jc w:val="center"/>
              <w:rPr>
                <w:sz w:val="22"/>
                <w:szCs w:val="22"/>
              </w:rPr>
            </w:pPr>
            <w:r w:rsidRPr="0090237F">
              <w:rPr>
                <w:sz w:val="22"/>
                <w:szCs w:val="22"/>
              </w:rPr>
              <w:t>500 mg/m</w:t>
            </w:r>
            <w:r w:rsidRPr="0090237F">
              <w:rPr>
                <w:sz w:val="22"/>
                <w:szCs w:val="22"/>
                <w:vertAlign w:val="superscript"/>
              </w:rPr>
              <w:t>2</w:t>
            </w:r>
            <w:r w:rsidRPr="0090237F">
              <w:rPr>
                <w:sz w:val="22"/>
                <w:szCs w:val="22"/>
              </w:rPr>
              <w:t xml:space="preserve"> kūno paviršiaus ploto kas 8 valandas </w:t>
            </w:r>
          </w:p>
        </w:tc>
      </w:tr>
    </w:tbl>
    <w:p w:rsidR="00111F16" w:rsidRPr="0090237F" w:rsidRDefault="00111F16" w:rsidP="00111F16">
      <w:pPr>
        <w:widowControl w:val="0"/>
        <w:tabs>
          <w:tab w:val="left" w:pos="520"/>
        </w:tabs>
        <w:rPr>
          <w:sz w:val="22"/>
          <w:szCs w:val="22"/>
        </w:rPr>
      </w:pPr>
    </w:p>
    <w:p w:rsidR="00111F16" w:rsidRPr="0090237F" w:rsidRDefault="00111F16" w:rsidP="00111F16">
      <w:pPr>
        <w:widowControl w:val="0"/>
        <w:rPr>
          <w:sz w:val="22"/>
          <w:szCs w:val="22"/>
        </w:rPr>
      </w:pPr>
      <w:r w:rsidRPr="0090237F">
        <w:rPr>
          <w:sz w:val="22"/>
          <w:szCs w:val="22"/>
        </w:rPr>
        <w:t xml:space="preserve">Acikloviro dozę vaikams, kurių inkstų funkcija sutrikusi, </w:t>
      </w:r>
      <w:r>
        <w:rPr>
          <w:sz w:val="22"/>
          <w:szCs w:val="22"/>
        </w:rPr>
        <w:t>gydytojas ati</w:t>
      </w:r>
      <w:r w:rsidRPr="0090237F">
        <w:rPr>
          <w:sz w:val="22"/>
          <w:szCs w:val="22"/>
        </w:rPr>
        <w:t>tinkamai koreguo</w:t>
      </w:r>
      <w:r>
        <w:rPr>
          <w:sz w:val="22"/>
          <w:szCs w:val="22"/>
        </w:rPr>
        <w:t>s,</w:t>
      </w:r>
      <w:r w:rsidRPr="0090237F">
        <w:rPr>
          <w:sz w:val="22"/>
          <w:szCs w:val="22"/>
        </w:rPr>
        <w:t xml:space="preserve"> atsižvelgiant į inkstų funkcijos sutrikimo sunkumą.</w:t>
      </w:r>
    </w:p>
    <w:p w:rsidR="00111F16" w:rsidRPr="0090237F" w:rsidRDefault="00111F16" w:rsidP="00111F16">
      <w:pPr>
        <w:widowControl w:val="0"/>
        <w:rPr>
          <w:sz w:val="22"/>
          <w:szCs w:val="22"/>
        </w:rPr>
      </w:pPr>
    </w:p>
    <w:p w:rsidR="00111F16" w:rsidRPr="00332F05" w:rsidRDefault="00111F16" w:rsidP="00111F16">
      <w:pPr>
        <w:widowControl w:val="0"/>
        <w:rPr>
          <w:sz w:val="22"/>
          <w:u w:val="single"/>
        </w:rPr>
      </w:pPr>
      <w:r w:rsidRPr="00332F05">
        <w:rPr>
          <w:sz w:val="22"/>
          <w:u w:val="single"/>
        </w:rPr>
        <w:t>Naujagimiams ir kūdikiams</w:t>
      </w:r>
    </w:p>
    <w:p w:rsidR="00111F16" w:rsidRDefault="00111F16" w:rsidP="00111F16">
      <w:pPr>
        <w:widowControl w:val="0"/>
        <w:rPr>
          <w:sz w:val="22"/>
          <w:szCs w:val="22"/>
        </w:rPr>
      </w:pPr>
      <w:r w:rsidRPr="0090237F">
        <w:rPr>
          <w:sz w:val="22"/>
          <w:szCs w:val="22"/>
        </w:rPr>
        <w:t>Naujagimiams ir kūdikiams iki 3 mėnesių amžiaus dozė apskaičiuojama atsižvelgiant į kūno svorį.</w:t>
      </w:r>
    </w:p>
    <w:p w:rsidR="00111F16" w:rsidRPr="0090237F" w:rsidRDefault="00111F16" w:rsidP="00111F16">
      <w:pPr>
        <w:widowControl w:val="0"/>
        <w:rPr>
          <w:sz w:val="22"/>
          <w:szCs w:val="22"/>
        </w:rPr>
      </w:pPr>
      <w:r w:rsidRPr="0090237F">
        <w:rPr>
          <w:sz w:val="22"/>
          <w:szCs w:val="22"/>
        </w:rPr>
        <w:t xml:space="preserve">Jei yra paprastosios pūslelinės sukelta infekcinė liga, naujagimiams ir jaunesniems kaip 3 mėnesių kūdikiams kas 8 valandas </w:t>
      </w:r>
      <w:r>
        <w:rPr>
          <w:sz w:val="22"/>
          <w:szCs w:val="22"/>
        </w:rPr>
        <w:t>leidžiama po</w:t>
      </w:r>
      <w:r w:rsidRPr="0090237F">
        <w:rPr>
          <w:sz w:val="22"/>
          <w:szCs w:val="22"/>
        </w:rPr>
        <w:t xml:space="preserve"> 20 mg/kg kūno svorio Virolex dozė. Išplitusių ir centrinės nervų sistemos (CNS) ligų gydymas trunka 21 parą, odos ir gleivinės – 14 parų.</w:t>
      </w:r>
    </w:p>
    <w:p w:rsidR="00111F16" w:rsidRPr="0090237F" w:rsidRDefault="00111F16" w:rsidP="00111F16">
      <w:pPr>
        <w:widowControl w:val="0"/>
        <w:rPr>
          <w:sz w:val="22"/>
          <w:szCs w:val="22"/>
        </w:rPr>
      </w:pPr>
      <w:r w:rsidRPr="0090237F">
        <w:rPr>
          <w:sz w:val="22"/>
          <w:szCs w:val="22"/>
        </w:rPr>
        <w:t>Acikloviro dozę naujagimiams ir kūdikiams, kurių inkstų funkcija sutrikusi, gydytojas tinkamai koreguos</w:t>
      </w:r>
      <w:r>
        <w:rPr>
          <w:sz w:val="22"/>
          <w:szCs w:val="22"/>
        </w:rPr>
        <w:t>,</w:t>
      </w:r>
      <w:r w:rsidRPr="0090237F">
        <w:rPr>
          <w:sz w:val="22"/>
          <w:szCs w:val="22"/>
        </w:rPr>
        <w:t xml:space="preserve"> atsižvelgiant į inkstų funkcijos sutrikimo sunkumą.</w:t>
      </w:r>
    </w:p>
    <w:p w:rsidR="00111F16" w:rsidRPr="0090237F" w:rsidRDefault="00111F16" w:rsidP="00111F16">
      <w:pPr>
        <w:widowControl w:val="0"/>
        <w:rPr>
          <w:sz w:val="22"/>
          <w:szCs w:val="22"/>
        </w:rPr>
      </w:pPr>
    </w:p>
    <w:p w:rsidR="00111F16" w:rsidRPr="0090237F" w:rsidRDefault="00111F16" w:rsidP="00111F16">
      <w:pPr>
        <w:widowControl w:val="0"/>
        <w:rPr>
          <w:sz w:val="22"/>
          <w:szCs w:val="22"/>
        </w:rPr>
      </w:pPr>
      <w:r w:rsidRPr="0090237F">
        <w:rPr>
          <w:sz w:val="22"/>
          <w:szCs w:val="22"/>
        </w:rPr>
        <w:t>Naujagimių paprastosios pūslelinės sukelta odos ir gleivinės (odos, akių, burnos) infekcinė liga paprastai gydoma 14 dienų, išplitusi arba centrinės nervų sistemos liga – 21 parą.</w:t>
      </w:r>
    </w:p>
    <w:p w:rsidR="00111F16" w:rsidRPr="0090237F" w:rsidRDefault="00111F16" w:rsidP="00111F16">
      <w:pPr>
        <w:widowControl w:val="0"/>
        <w:rPr>
          <w:sz w:val="22"/>
          <w:szCs w:val="22"/>
        </w:rPr>
      </w:pPr>
    </w:p>
    <w:p w:rsidR="00111F16" w:rsidRPr="0090237F" w:rsidRDefault="00111F16" w:rsidP="00111F16">
      <w:pPr>
        <w:widowControl w:val="0"/>
        <w:rPr>
          <w:sz w:val="22"/>
          <w:szCs w:val="22"/>
        </w:rPr>
      </w:pPr>
      <w:r>
        <w:rPr>
          <w:sz w:val="22"/>
          <w:szCs w:val="22"/>
        </w:rPr>
        <w:t>S</w:t>
      </w:r>
      <w:r w:rsidRPr="0090237F">
        <w:rPr>
          <w:sz w:val="22"/>
          <w:szCs w:val="22"/>
        </w:rPr>
        <w:t>enyv</w:t>
      </w:r>
      <w:r>
        <w:rPr>
          <w:sz w:val="22"/>
          <w:szCs w:val="22"/>
        </w:rPr>
        <w:t>ies</w:t>
      </w:r>
      <w:r w:rsidRPr="0090237F">
        <w:rPr>
          <w:sz w:val="22"/>
          <w:szCs w:val="22"/>
        </w:rPr>
        <w:t xml:space="preserve"> </w:t>
      </w:r>
      <w:r>
        <w:rPr>
          <w:sz w:val="22"/>
          <w:szCs w:val="22"/>
        </w:rPr>
        <w:t>pacientams gali būti</w:t>
      </w:r>
      <w:r w:rsidRPr="0090237F">
        <w:rPr>
          <w:sz w:val="22"/>
          <w:szCs w:val="22"/>
        </w:rPr>
        <w:t xml:space="preserve"> inkstų funkcijos sutrikim</w:t>
      </w:r>
      <w:r>
        <w:rPr>
          <w:sz w:val="22"/>
          <w:szCs w:val="22"/>
        </w:rPr>
        <w:t>as, todėl gydytojas gali</w:t>
      </w:r>
      <w:r w:rsidRPr="0090237F">
        <w:rPr>
          <w:sz w:val="22"/>
          <w:szCs w:val="22"/>
        </w:rPr>
        <w:t xml:space="preserve"> atitinkamai koreguoti dozę.</w:t>
      </w:r>
      <w:r>
        <w:rPr>
          <w:sz w:val="22"/>
          <w:szCs w:val="22"/>
        </w:rPr>
        <w:t xml:space="preserve"> Senyvi žmonės, gydomi Virolex, turi vartoti pakankamai skysčių</w:t>
      </w:r>
      <w:r w:rsidRPr="0090237F">
        <w:rPr>
          <w:sz w:val="22"/>
          <w:szCs w:val="22"/>
        </w:rPr>
        <w:t>.</w:t>
      </w:r>
    </w:p>
    <w:p w:rsidR="00111F16" w:rsidRPr="0090237F" w:rsidRDefault="00111F16" w:rsidP="00111F16">
      <w:pPr>
        <w:widowControl w:val="0"/>
        <w:rPr>
          <w:i/>
          <w:iCs/>
          <w:sz w:val="22"/>
          <w:szCs w:val="22"/>
        </w:rPr>
      </w:pPr>
    </w:p>
    <w:p w:rsidR="00111F16" w:rsidRPr="0090237F" w:rsidRDefault="00111F16" w:rsidP="00111F16">
      <w:pPr>
        <w:widowControl w:val="0"/>
        <w:tabs>
          <w:tab w:val="left" w:pos="520"/>
        </w:tabs>
        <w:rPr>
          <w:sz w:val="22"/>
          <w:szCs w:val="22"/>
        </w:rPr>
      </w:pPr>
      <w:r w:rsidRPr="0090237F">
        <w:rPr>
          <w:sz w:val="22"/>
          <w:szCs w:val="22"/>
        </w:rPr>
        <w:t xml:space="preserve">Pacientams, kurių inkstų funkcija sutrikusi, </w:t>
      </w:r>
      <w:r>
        <w:rPr>
          <w:bCs/>
          <w:sz w:val="22"/>
          <w:szCs w:val="22"/>
        </w:rPr>
        <w:t>vaisto reikia</w:t>
      </w:r>
      <w:r w:rsidRPr="0090237F">
        <w:rPr>
          <w:sz w:val="22"/>
          <w:szCs w:val="22"/>
        </w:rPr>
        <w:t xml:space="preserve"> </w:t>
      </w:r>
      <w:r>
        <w:rPr>
          <w:sz w:val="22"/>
          <w:szCs w:val="22"/>
        </w:rPr>
        <w:t>vartoti</w:t>
      </w:r>
      <w:r w:rsidRPr="0090237F">
        <w:rPr>
          <w:sz w:val="22"/>
          <w:szCs w:val="22"/>
        </w:rPr>
        <w:t xml:space="preserve"> atsargiai</w:t>
      </w:r>
      <w:r>
        <w:rPr>
          <w:sz w:val="22"/>
          <w:szCs w:val="22"/>
        </w:rPr>
        <w:t>, dozę nustatys gydytojas</w:t>
      </w:r>
      <w:r w:rsidRPr="0090237F">
        <w:rPr>
          <w:sz w:val="22"/>
          <w:szCs w:val="22"/>
        </w:rPr>
        <w:t xml:space="preserve">. Būtina </w:t>
      </w:r>
      <w:r>
        <w:rPr>
          <w:sz w:val="22"/>
          <w:szCs w:val="22"/>
        </w:rPr>
        <w:t>vartoti pakankamai skysčių</w:t>
      </w:r>
      <w:r w:rsidRPr="0090237F">
        <w:rPr>
          <w:sz w:val="22"/>
          <w:szCs w:val="22"/>
        </w:rPr>
        <w:t>.</w:t>
      </w:r>
    </w:p>
    <w:p w:rsidR="00111F16" w:rsidRPr="0090237F" w:rsidRDefault="00111F16" w:rsidP="00111F16">
      <w:pPr>
        <w:widowControl w:val="0"/>
        <w:rPr>
          <w:iCs/>
          <w:sz w:val="22"/>
          <w:szCs w:val="22"/>
        </w:rPr>
      </w:pPr>
      <w:r w:rsidRPr="0090237F">
        <w:rPr>
          <w:iCs/>
          <w:sz w:val="22"/>
          <w:szCs w:val="22"/>
        </w:rPr>
        <w:t>Pacientams, kurių inkstų funkcija sutrikusi</w:t>
      </w:r>
      <w:r>
        <w:rPr>
          <w:iCs/>
          <w:sz w:val="22"/>
          <w:szCs w:val="22"/>
        </w:rPr>
        <w:t>, vaisto dozė nustatoma pagal</w:t>
      </w:r>
      <w:r w:rsidRPr="0090237F">
        <w:rPr>
          <w:iCs/>
          <w:sz w:val="22"/>
          <w:szCs w:val="22"/>
        </w:rPr>
        <w:t xml:space="preserve"> kreatinino klirens</w:t>
      </w:r>
      <w:r>
        <w:rPr>
          <w:iCs/>
          <w:sz w:val="22"/>
          <w:szCs w:val="22"/>
        </w:rPr>
        <w:t>ą</w:t>
      </w:r>
      <w:r w:rsidRPr="0090237F">
        <w:rPr>
          <w:iCs/>
          <w:sz w:val="22"/>
          <w:szCs w:val="22"/>
        </w:rPr>
        <w:t>.</w:t>
      </w:r>
    </w:p>
    <w:p w:rsidR="00111F16" w:rsidRPr="0090237F" w:rsidRDefault="00111F16" w:rsidP="00111F16">
      <w:pPr>
        <w:widowControl w:val="0"/>
        <w:tabs>
          <w:tab w:val="left" w:pos="520"/>
        </w:tabs>
        <w:rPr>
          <w:sz w:val="22"/>
          <w:szCs w:val="22"/>
        </w:rPr>
      </w:pPr>
    </w:p>
    <w:p w:rsidR="00111F16" w:rsidRPr="0090237F" w:rsidRDefault="00111F16" w:rsidP="00111F16">
      <w:pPr>
        <w:widowControl w:val="0"/>
        <w:tabs>
          <w:tab w:val="left" w:pos="520"/>
        </w:tabs>
        <w:rPr>
          <w:sz w:val="22"/>
          <w:szCs w:val="22"/>
        </w:rPr>
      </w:pPr>
      <w:r w:rsidRPr="0090237F">
        <w:rPr>
          <w:sz w:val="22"/>
          <w:szCs w:val="22"/>
        </w:rPr>
        <w:t>Dozavimas suaugusiems ir paaugliams:</w:t>
      </w:r>
    </w:p>
    <w:p w:rsidR="00111F16" w:rsidRPr="0090237F" w:rsidRDefault="00111F16" w:rsidP="00111F16">
      <w:pPr>
        <w:widowControl w:val="0"/>
        <w:tabs>
          <w:tab w:val="left" w:pos="520"/>
        </w:tabs>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111F16" w:rsidRPr="0090237F" w:rsidTr="00F16D93">
        <w:tc>
          <w:tcPr>
            <w:tcW w:w="4361"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tabs>
                <w:tab w:val="left" w:pos="520"/>
              </w:tabs>
              <w:jc w:val="center"/>
              <w:rPr>
                <w:b/>
                <w:sz w:val="22"/>
              </w:rPr>
            </w:pPr>
            <w:r w:rsidRPr="00332F05">
              <w:rPr>
                <w:b/>
                <w:sz w:val="22"/>
              </w:rPr>
              <w:t>Kreatinino klirensas</w:t>
            </w:r>
          </w:p>
        </w:tc>
        <w:tc>
          <w:tcPr>
            <w:tcW w:w="4678"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tabs>
                <w:tab w:val="left" w:pos="520"/>
              </w:tabs>
              <w:jc w:val="center"/>
              <w:rPr>
                <w:b/>
                <w:sz w:val="22"/>
              </w:rPr>
            </w:pPr>
            <w:r w:rsidRPr="00332F05">
              <w:rPr>
                <w:b/>
                <w:sz w:val="22"/>
              </w:rPr>
              <w:t>Dozavimas</w:t>
            </w:r>
          </w:p>
        </w:tc>
      </w:tr>
      <w:tr w:rsidR="00111F16" w:rsidRPr="0090237F" w:rsidTr="00F16D93">
        <w:trPr>
          <w:trHeight w:val="363"/>
        </w:trPr>
        <w:tc>
          <w:tcPr>
            <w:tcW w:w="4361" w:type="dxa"/>
            <w:tcBorders>
              <w:top w:val="single" w:sz="6" w:space="0" w:color="auto"/>
              <w:left w:val="single" w:sz="6" w:space="0" w:color="auto"/>
              <w:bottom w:val="single" w:sz="4" w:space="0" w:color="auto"/>
              <w:right w:val="single" w:sz="6" w:space="0" w:color="auto"/>
            </w:tcBorders>
          </w:tcPr>
          <w:p w:rsidR="00111F16" w:rsidRPr="0090237F" w:rsidRDefault="00111F16" w:rsidP="00F16D93">
            <w:pPr>
              <w:widowControl w:val="0"/>
              <w:tabs>
                <w:tab w:val="left" w:pos="520"/>
              </w:tabs>
              <w:rPr>
                <w:b/>
                <w:sz w:val="22"/>
                <w:szCs w:val="22"/>
              </w:rPr>
            </w:pPr>
            <w:r w:rsidRPr="0090237F">
              <w:rPr>
                <w:sz w:val="22"/>
                <w:szCs w:val="22"/>
              </w:rPr>
              <w:t>25</w:t>
            </w:r>
            <w:r w:rsidRPr="0090237F">
              <w:rPr>
                <w:sz w:val="22"/>
                <w:szCs w:val="22"/>
              </w:rPr>
              <w:noBreakHyphen/>
              <w:t xml:space="preserve">50 ml/min. </w:t>
            </w:r>
          </w:p>
        </w:tc>
        <w:tc>
          <w:tcPr>
            <w:tcW w:w="4678" w:type="dxa"/>
            <w:tcBorders>
              <w:top w:val="single" w:sz="6" w:space="0" w:color="auto"/>
              <w:left w:val="single" w:sz="6" w:space="0" w:color="auto"/>
              <w:bottom w:val="single" w:sz="4" w:space="0" w:color="auto"/>
              <w:right w:val="single" w:sz="6" w:space="0" w:color="auto"/>
            </w:tcBorders>
          </w:tcPr>
          <w:p w:rsidR="00111F16" w:rsidRPr="0090237F" w:rsidRDefault="00111F16" w:rsidP="00F16D93">
            <w:pPr>
              <w:pStyle w:val="prastasiniatinklio"/>
              <w:widowControl w:val="0"/>
              <w:spacing w:before="0" w:beforeAutospacing="0" w:after="0" w:afterAutospacing="0"/>
              <w:rPr>
                <w:b/>
                <w:sz w:val="22"/>
                <w:szCs w:val="22"/>
                <w:lang w:val="lt-LT"/>
              </w:rPr>
            </w:pPr>
            <w:r w:rsidRPr="0090237F">
              <w:rPr>
                <w:sz w:val="22"/>
                <w:szCs w:val="22"/>
                <w:lang w:val="lt-LT"/>
              </w:rPr>
              <w:t xml:space="preserve">Aukščiau paminėta rekomenduojama dozė (5 arba </w:t>
            </w:r>
            <w:r w:rsidRPr="0090237F">
              <w:rPr>
                <w:sz w:val="22"/>
                <w:szCs w:val="22"/>
                <w:lang w:val="lt-LT"/>
              </w:rPr>
              <w:lastRenderedPageBreak/>
              <w:t xml:space="preserve">10 mg/kg kūno svorio) </w:t>
            </w:r>
            <w:r>
              <w:rPr>
                <w:sz w:val="22"/>
                <w:szCs w:val="22"/>
                <w:lang w:val="lt-LT"/>
              </w:rPr>
              <w:t>leidžiama</w:t>
            </w:r>
            <w:r w:rsidRPr="0090237F">
              <w:rPr>
                <w:sz w:val="22"/>
                <w:szCs w:val="22"/>
                <w:lang w:val="lt-LT"/>
              </w:rPr>
              <w:t xml:space="preserve"> kas 12 valandų.</w:t>
            </w:r>
          </w:p>
        </w:tc>
      </w:tr>
      <w:tr w:rsidR="00111F16" w:rsidRPr="0090237F" w:rsidTr="00F16D93">
        <w:trPr>
          <w:trHeight w:val="338"/>
        </w:trPr>
        <w:tc>
          <w:tcPr>
            <w:tcW w:w="4361" w:type="dxa"/>
            <w:tcBorders>
              <w:top w:val="single" w:sz="4" w:space="0" w:color="auto"/>
              <w:left w:val="single" w:sz="6" w:space="0" w:color="auto"/>
              <w:bottom w:val="single" w:sz="4" w:space="0" w:color="auto"/>
              <w:right w:val="single" w:sz="6" w:space="0" w:color="auto"/>
            </w:tcBorders>
          </w:tcPr>
          <w:p w:rsidR="00111F16" w:rsidRPr="0090237F" w:rsidRDefault="00111F16" w:rsidP="00F16D93">
            <w:pPr>
              <w:widowControl w:val="0"/>
              <w:tabs>
                <w:tab w:val="left" w:pos="520"/>
              </w:tabs>
              <w:rPr>
                <w:sz w:val="22"/>
                <w:szCs w:val="22"/>
              </w:rPr>
            </w:pPr>
            <w:r w:rsidRPr="0090237F">
              <w:rPr>
                <w:sz w:val="22"/>
                <w:szCs w:val="22"/>
              </w:rPr>
              <w:lastRenderedPageBreak/>
              <w:t>10</w:t>
            </w:r>
            <w:r w:rsidRPr="0090237F">
              <w:rPr>
                <w:sz w:val="22"/>
                <w:szCs w:val="22"/>
              </w:rPr>
              <w:noBreakHyphen/>
              <w:t xml:space="preserve">25 ml/min. </w:t>
            </w:r>
          </w:p>
        </w:tc>
        <w:tc>
          <w:tcPr>
            <w:tcW w:w="4678" w:type="dxa"/>
            <w:tcBorders>
              <w:top w:val="single" w:sz="4" w:space="0" w:color="auto"/>
              <w:left w:val="single" w:sz="6" w:space="0" w:color="auto"/>
              <w:bottom w:val="single" w:sz="4" w:space="0" w:color="auto"/>
              <w:right w:val="single" w:sz="6" w:space="0" w:color="auto"/>
            </w:tcBorders>
          </w:tcPr>
          <w:p w:rsidR="00111F16" w:rsidRPr="0090237F" w:rsidRDefault="00111F16" w:rsidP="00F16D93">
            <w:pPr>
              <w:pStyle w:val="prastasiniatinklio"/>
              <w:widowControl w:val="0"/>
              <w:spacing w:before="0" w:beforeAutospacing="0" w:after="0" w:afterAutospacing="0"/>
              <w:rPr>
                <w:sz w:val="22"/>
                <w:szCs w:val="22"/>
                <w:lang w:val="lt-LT"/>
              </w:rPr>
            </w:pPr>
            <w:r w:rsidRPr="0090237F">
              <w:rPr>
                <w:sz w:val="22"/>
                <w:szCs w:val="22"/>
                <w:lang w:val="lt-LT"/>
              </w:rPr>
              <w:t xml:space="preserve">Aukščiau paminėta rekomenduojama dozė (5 arba 10 mg/kg kūno svorio) </w:t>
            </w:r>
            <w:r>
              <w:rPr>
                <w:sz w:val="22"/>
                <w:szCs w:val="22"/>
                <w:lang w:val="lt-LT"/>
              </w:rPr>
              <w:t>leidžiama</w:t>
            </w:r>
            <w:r w:rsidRPr="0090237F">
              <w:rPr>
                <w:sz w:val="22"/>
                <w:szCs w:val="22"/>
                <w:lang w:val="lt-LT"/>
              </w:rPr>
              <w:t xml:space="preserve"> kas 24 valandas.</w:t>
            </w:r>
          </w:p>
        </w:tc>
      </w:tr>
      <w:tr w:rsidR="00111F16" w:rsidRPr="0090237F" w:rsidTr="00F16D93">
        <w:trPr>
          <w:trHeight w:val="1849"/>
        </w:trPr>
        <w:tc>
          <w:tcPr>
            <w:tcW w:w="4361" w:type="dxa"/>
            <w:tcBorders>
              <w:top w:val="single" w:sz="4" w:space="0" w:color="auto"/>
              <w:left w:val="single" w:sz="6" w:space="0" w:color="auto"/>
              <w:bottom w:val="single" w:sz="6" w:space="0" w:color="auto"/>
              <w:right w:val="single" w:sz="6" w:space="0" w:color="auto"/>
            </w:tcBorders>
          </w:tcPr>
          <w:p w:rsidR="00111F16" w:rsidRPr="0090237F" w:rsidRDefault="00111F16" w:rsidP="00F16D93">
            <w:pPr>
              <w:widowControl w:val="0"/>
              <w:tabs>
                <w:tab w:val="left" w:pos="520"/>
              </w:tabs>
              <w:rPr>
                <w:sz w:val="22"/>
                <w:szCs w:val="22"/>
              </w:rPr>
            </w:pPr>
            <w:r w:rsidRPr="0090237F">
              <w:rPr>
                <w:sz w:val="22"/>
                <w:szCs w:val="22"/>
              </w:rPr>
              <w:t xml:space="preserve">0 – 10 ml/min. </w:t>
            </w:r>
          </w:p>
        </w:tc>
        <w:tc>
          <w:tcPr>
            <w:tcW w:w="4678" w:type="dxa"/>
            <w:tcBorders>
              <w:top w:val="single" w:sz="4" w:space="0" w:color="auto"/>
              <w:left w:val="single" w:sz="6" w:space="0" w:color="auto"/>
              <w:bottom w:val="single" w:sz="6" w:space="0" w:color="auto"/>
              <w:right w:val="single" w:sz="6" w:space="0" w:color="auto"/>
            </w:tcBorders>
          </w:tcPr>
          <w:p w:rsidR="00111F16" w:rsidRPr="0090237F" w:rsidRDefault="00111F16" w:rsidP="00F16D93">
            <w:pPr>
              <w:pStyle w:val="prastasiniatinklio"/>
              <w:widowControl w:val="0"/>
              <w:spacing w:before="0" w:beforeAutospacing="0" w:after="0" w:afterAutospacing="0"/>
              <w:rPr>
                <w:sz w:val="22"/>
                <w:szCs w:val="22"/>
                <w:lang w:val="lt-LT"/>
              </w:rPr>
            </w:pPr>
            <w:r w:rsidRPr="0090237F">
              <w:rPr>
                <w:sz w:val="22"/>
                <w:szCs w:val="22"/>
                <w:lang w:val="lt-LT"/>
              </w:rPr>
              <w:t xml:space="preserve">Nuolatinės ambulatorinės </w:t>
            </w:r>
            <w:proofErr w:type="spellStart"/>
            <w:r w:rsidRPr="0090237F">
              <w:rPr>
                <w:sz w:val="22"/>
                <w:szCs w:val="22"/>
                <w:lang w:val="lt-LT"/>
              </w:rPr>
              <w:t>peritoninės</w:t>
            </w:r>
            <w:proofErr w:type="spellEnd"/>
            <w:r w:rsidRPr="0090237F">
              <w:rPr>
                <w:sz w:val="22"/>
                <w:szCs w:val="22"/>
                <w:lang w:val="lt-LT"/>
              </w:rPr>
              <w:t xml:space="preserve"> dializės (NAPD) atveju aukščiau paminėta rekomenduojama dozė (5 arba 10 mg/kg kūno svorio) sumažinama per pusę ir </w:t>
            </w:r>
            <w:r>
              <w:rPr>
                <w:sz w:val="22"/>
                <w:szCs w:val="22"/>
                <w:lang w:val="lt-LT"/>
              </w:rPr>
              <w:t>leidžiama</w:t>
            </w:r>
            <w:r w:rsidRPr="0090237F">
              <w:rPr>
                <w:sz w:val="22"/>
                <w:szCs w:val="22"/>
                <w:lang w:val="lt-LT"/>
              </w:rPr>
              <w:t xml:space="preserve"> kas 24 valandas.</w:t>
            </w:r>
          </w:p>
          <w:p w:rsidR="00111F16" w:rsidRPr="0090237F" w:rsidRDefault="00111F16" w:rsidP="00F16D93">
            <w:pPr>
              <w:widowControl w:val="0"/>
              <w:rPr>
                <w:sz w:val="22"/>
                <w:szCs w:val="22"/>
              </w:rPr>
            </w:pPr>
            <w:r w:rsidRPr="0090237F">
              <w:rPr>
                <w:sz w:val="22"/>
                <w:szCs w:val="22"/>
              </w:rPr>
              <w:t xml:space="preserve">Jei pacientas gydomas hemodialize, rekomenduojama dozė (5 arba 10 mg/kg kūno svorio) sumažinama per pusę ir </w:t>
            </w:r>
            <w:r>
              <w:rPr>
                <w:sz w:val="22"/>
                <w:szCs w:val="22"/>
              </w:rPr>
              <w:t>leidžiama</w:t>
            </w:r>
            <w:r w:rsidRPr="0090237F">
              <w:rPr>
                <w:sz w:val="22"/>
                <w:szCs w:val="22"/>
              </w:rPr>
              <w:t xml:space="preserve"> kas 24 valandas bei po dializės.</w:t>
            </w:r>
          </w:p>
        </w:tc>
      </w:tr>
    </w:tbl>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Dozavimas kūdikiams ir vaikams:</w:t>
      </w:r>
    </w:p>
    <w:p w:rsidR="00111F16" w:rsidRPr="0090237F" w:rsidRDefault="00111F16" w:rsidP="00111F16">
      <w:pPr>
        <w:pStyle w:val="Pagrindinistekstas"/>
        <w:widowControl w:val="0"/>
        <w:rPr>
          <w:szCs w:val="22"/>
          <w:lang w:val="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111F16" w:rsidRPr="0090237F" w:rsidTr="00F16D93">
        <w:tc>
          <w:tcPr>
            <w:tcW w:w="4361"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tabs>
                <w:tab w:val="left" w:pos="520"/>
              </w:tabs>
              <w:jc w:val="center"/>
              <w:rPr>
                <w:b/>
                <w:sz w:val="22"/>
              </w:rPr>
            </w:pPr>
            <w:r w:rsidRPr="00332F05">
              <w:rPr>
                <w:b/>
                <w:sz w:val="22"/>
              </w:rPr>
              <w:t>Kreatinino klirensas</w:t>
            </w:r>
          </w:p>
        </w:tc>
        <w:tc>
          <w:tcPr>
            <w:tcW w:w="4678" w:type="dxa"/>
            <w:tcBorders>
              <w:top w:val="single" w:sz="6" w:space="0" w:color="auto"/>
              <w:left w:val="single" w:sz="6" w:space="0" w:color="auto"/>
              <w:bottom w:val="single" w:sz="6" w:space="0" w:color="auto"/>
              <w:right w:val="single" w:sz="6" w:space="0" w:color="auto"/>
            </w:tcBorders>
          </w:tcPr>
          <w:p w:rsidR="00111F16" w:rsidRPr="00332F05" w:rsidRDefault="00111F16" w:rsidP="00F16D93">
            <w:pPr>
              <w:widowControl w:val="0"/>
              <w:tabs>
                <w:tab w:val="left" w:pos="520"/>
              </w:tabs>
              <w:jc w:val="center"/>
              <w:rPr>
                <w:b/>
                <w:sz w:val="22"/>
              </w:rPr>
            </w:pPr>
            <w:r w:rsidRPr="00332F05">
              <w:rPr>
                <w:b/>
                <w:sz w:val="22"/>
              </w:rPr>
              <w:t>Dozavimas</w:t>
            </w:r>
          </w:p>
        </w:tc>
      </w:tr>
      <w:tr w:rsidR="00111F16" w:rsidRPr="0090237F" w:rsidTr="00F16D93">
        <w:trPr>
          <w:trHeight w:val="363"/>
        </w:trPr>
        <w:tc>
          <w:tcPr>
            <w:tcW w:w="4361" w:type="dxa"/>
            <w:tcBorders>
              <w:top w:val="single" w:sz="6" w:space="0" w:color="auto"/>
              <w:left w:val="single" w:sz="6" w:space="0" w:color="auto"/>
              <w:bottom w:val="single" w:sz="4" w:space="0" w:color="auto"/>
              <w:right w:val="single" w:sz="6" w:space="0" w:color="auto"/>
            </w:tcBorders>
          </w:tcPr>
          <w:p w:rsidR="00111F16" w:rsidRPr="0090237F" w:rsidRDefault="00111F16" w:rsidP="00F16D93">
            <w:pPr>
              <w:widowControl w:val="0"/>
              <w:tabs>
                <w:tab w:val="left" w:pos="520"/>
              </w:tabs>
              <w:rPr>
                <w:sz w:val="22"/>
                <w:szCs w:val="22"/>
              </w:rPr>
            </w:pPr>
            <w:r w:rsidRPr="0090237F">
              <w:rPr>
                <w:sz w:val="22"/>
                <w:szCs w:val="22"/>
              </w:rPr>
              <w:t>25</w:t>
            </w:r>
            <w:r w:rsidRPr="0090237F">
              <w:rPr>
                <w:sz w:val="22"/>
                <w:szCs w:val="22"/>
              </w:rPr>
              <w:noBreakHyphen/>
              <w:t>50 ml/min</w:t>
            </w:r>
            <w:r>
              <w:rPr>
                <w:sz w:val="22"/>
                <w:szCs w:val="22"/>
              </w:rPr>
              <w:t>.</w:t>
            </w:r>
            <w:r w:rsidRPr="0090237F">
              <w:rPr>
                <w:sz w:val="22"/>
                <w:szCs w:val="22"/>
              </w:rPr>
              <w:t>/1,73</w:t>
            </w:r>
            <w:r w:rsidRPr="00807559">
              <w:rPr>
                <w:iCs/>
                <w:sz w:val="22"/>
                <w:szCs w:val="22"/>
              </w:rPr>
              <w:t>m</w:t>
            </w:r>
            <w:r w:rsidRPr="00807559">
              <w:rPr>
                <w:iCs/>
                <w:sz w:val="22"/>
                <w:szCs w:val="22"/>
                <w:vertAlign w:val="superscript"/>
              </w:rPr>
              <w:t>2</w:t>
            </w:r>
            <w:r w:rsidRPr="0090237F">
              <w:rPr>
                <w:sz w:val="22"/>
                <w:szCs w:val="22"/>
              </w:rPr>
              <w:fldChar w:fldCharType="begin"/>
            </w:r>
            <w:r w:rsidRPr="0090237F">
              <w:rPr>
                <w:sz w:val="22"/>
                <w:szCs w:val="22"/>
              </w:rPr>
              <w:instrText xml:space="preserve"> QUOTE  </w:instrText>
            </w:r>
            <w:r w:rsidRPr="0090237F">
              <w:rPr>
                <w:sz w:val="22"/>
                <w:szCs w:val="22"/>
              </w:rPr>
              <w:fldChar w:fldCharType="end"/>
            </w:r>
          </w:p>
          <w:p w:rsidR="00111F16" w:rsidRPr="0090237F" w:rsidRDefault="00111F16" w:rsidP="00F16D93">
            <w:pPr>
              <w:widowControl w:val="0"/>
              <w:tabs>
                <w:tab w:val="left" w:pos="520"/>
              </w:tabs>
              <w:rPr>
                <w:b/>
                <w:sz w:val="22"/>
                <w:szCs w:val="22"/>
              </w:rPr>
            </w:pPr>
          </w:p>
        </w:tc>
        <w:tc>
          <w:tcPr>
            <w:tcW w:w="4678" w:type="dxa"/>
            <w:tcBorders>
              <w:top w:val="single" w:sz="6" w:space="0" w:color="auto"/>
              <w:left w:val="single" w:sz="6" w:space="0" w:color="auto"/>
              <w:bottom w:val="single" w:sz="4" w:space="0" w:color="auto"/>
              <w:right w:val="single" w:sz="6" w:space="0" w:color="auto"/>
            </w:tcBorders>
          </w:tcPr>
          <w:p w:rsidR="00111F16" w:rsidRPr="0090237F" w:rsidRDefault="00111F16" w:rsidP="00F16D93">
            <w:pPr>
              <w:pStyle w:val="prastasiniatinklio"/>
              <w:widowControl w:val="0"/>
              <w:spacing w:before="0" w:beforeAutospacing="0" w:after="0" w:afterAutospacing="0"/>
              <w:rPr>
                <w:b/>
                <w:sz w:val="22"/>
                <w:szCs w:val="22"/>
                <w:lang w:val="lt-LT"/>
              </w:rPr>
            </w:pPr>
            <w:r w:rsidRPr="0090237F">
              <w:rPr>
                <w:sz w:val="22"/>
                <w:szCs w:val="22"/>
                <w:lang w:val="lt-LT"/>
              </w:rPr>
              <w:t>Aukščiau paminėta rekomenduojama dozė (250 arba 500 mg</w:t>
            </w:r>
            <w:r w:rsidRPr="00807559">
              <w:rPr>
                <w:sz w:val="22"/>
                <w:szCs w:val="22"/>
                <w:lang w:val="lt-LT"/>
              </w:rPr>
              <w:t>/</w:t>
            </w:r>
            <w:r w:rsidRPr="00807559">
              <w:rPr>
                <w:iCs/>
                <w:sz w:val="22"/>
                <w:szCs w:val="22"/>
                <w:lang w:val="lt-LT"/>
              </w:rPr>
              <w:t>m</w:t>
            </w:r>
            <w:r w:rsidRPr="00807559">
              <w:rPr>
                <w:iCs/>
                <w:sz w:val="22"/>
                <w:szCs w:val="22"/>
                <w:vertAlign w:val="superscript"/>
                <w:lang w:val="lt-LT"/>
              </w:rPr>
              <w:t xml:space="preserve">2 </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Pr="0090237F">
              <w:rPr>
                <w:sz w:val="22"/>
                <w:szCs w:val="22"/>
                <w:lang w:val="lt-LT"/>
              </w:rPr>
              <w:t xml:space="preserve">kūno paviršiaus ploto arba 20 mg/ kg kūno svorio) </w:t>
            </w:r>
            <w:r>
              <w:rPr>
                <w:sz w:val="22"/>
                <w:szCs w:val="22"/>
                <w:lang w:val="lt-LT"/>
              </w:rPr>
              <w:t>leidžiama</w:t>
            </w:r>
            <w:r w:rsidRPr="0090237F">
              <w:rPr>
                <w:sz w:val="22"/>
                <w:szCs w:val="22"/>
                <w:lang w:val="lt-LT"/>
              </w:rPr>
              <w:t xml:space="preserve"> kas 12 valandų.</w:t>
            </w:r>
          </w:p>
        </w:tc>
      </w:tr>
      <w:tr w:rsidR="00111F16" w:rsidRPr="0090237F" w:rsidTr="00F16D93">
        <w:trPr>
          <w:trHeight w:val="338"/>
        </w:trPr>
        <w:tc>
          <w:tcPr>
            <w:tcW w:w="4361" w:type="dxa"/>
            <w:tcBorders>
              <w:top w:val="single" w:sz="4" w:space="0" w:color="auto"/>
              <w:left w:val="single" w:sz="6" w:space="0" w:color="auto"/>
              <w:bottom w:val="single" w:sz="4" w:space="0" w:color="auto"/>
              <w:right w:val="single" w:sz="6" w:space="0" w:color="auto"/>
            </w:tcBorders>
          </w:tcPr>
          <w:p w:rsidR="00111F16" w:rsidRPr="0090237F" w:rsidRDefault="00111F16" w:rsidP="00F16D93">
            <w:pPr>
              <w:widowControl w:val="0"/>
              <w:tabs>
                <w:tab w:val="left" w:pos="520"/>
              </w:tabs>
              <w:rPr>
                <w:sz w:val="22"/>
                <w:szCs w:val="22"/>
              </w:rPr>
            </w:pPr>
            <w:r w:rsidRPr="0090237F">
              <w:rPr>
                <w:sz w:val="22"/>
                <w:szCs w:val="22"/>
              </w:rPr>
              <w:t>10</w:t>
            </w:r>
            <w:r w:rsidRPr="0090237F">
              <w:rPr>
                <w:sz w:val="22"/>
                <w:szCs w:val="22"/>
              </w:rPr>
              <w:noBreakHyphen/>
              <w:t>25 ml/min</w:t>
            </w:r>
            <w:r>
              <w:rPr>
                <w:sz w:val="22"/>
                <w:szCs w:val="22"/>
              </w:rPr>
              <w:t>.</w:t>
            </w:r>
            <w:r w:rsidRPr="0090237F">
              <w:rPr>
                <w:sz w:val="22"/>
                <w:szCs w:val="22"/>
              </w:rPr>
              <w:t>/1,73</w:t>
            </w:r>
            <w:r w:rsidRPr="00807559">
              <w:rPr>
                <w:iCs/>
                <w:sz w:val="22"/>
                <w:szCs w:val="22"/>
              </w:rPr>
              <w:t>m</w:t>
            </w:r>
            <w:r w:rsidRPr="00807559">
              <w:rPr>
                <w:iCs/>
                <w:sz w:val="22"/>
                <w:szCs w:val="22"/>
                <w:vertAlign w:val="superscript"/>
              </w:rPr>
              <w:t>2</w:t>
            </w:r>
          </w:p>
        </w:tc>
        <w:tc>
          <w:tcPr>
            <w:tcW w:w="4678" w:type="dxa"/>
            <w:tcBorders>
              <w:top w:val="single" w:sz="4" w:space="0" w:color="auto"/>
              <w:left w:val="single" w:sz="6" w:space="0" w:color="auto"/>
              <w:bottom w:val="single" w:sz="4" w:space="0" w:color="auto"/>
              <w:right w:val="single" w:sz="6" w:space="0" w:color="auto"/>
            </w:tcBorders>
          </w:tcPr>
          <w:p w:rsidR="00111F16" w:rsidRPr="0090237F" w:rsidRDefault="00111F16" w:rsidP="00F16D93">
            <w:pPr>
              <w:pStyle w:val="prastasiniatinklio"/>
              <w:widowControl w:val="0"/>
              <w:spacing w:before="0" w:beforeAutospacing="0" w:after="0" w:afterAutospacing="0"/>
              <w:rPr>
                <w:sz w:val="22"/>
                <w:szCs w:val="22"/>
                <w:lang w:val="lt-LT"/>
              </w:rPr>
            </w:pPr>
            <w:r w:rsidRPr="0090237F">
              <w:rPr>
                <w:sz w:val="22"/>
                <w:szCs w:val="22"/>
                <w:lang w:val="lt-LT"/>
              </w:rPr>
              <w:t>Aukščiau paminėta rekomenduojama dozė (250 ar 500 mg</w:t>
            </w:r>
            <w:r w:rsidRPr="00807559">
              <w:rPr>
                <w:sz w:val="22"/>
                <w:szCs w:val="22"/>
                <w:lang w:val="lt-LT"/>
              </w:rPr>
              <w:t>/</w:t>
            </w:r>
            <w:r w:rsidRPr="00807559">
              <w:rPr>
                <w:iCs/>
                <w:sz w:val="22"/>
                <w:szCs w:val="22"/>
                <w:lang w:val="lt-LT"/>
              </w:rPr>
              <w:t>m</w:t>
            </w:r>
            <w:r w:rsidRPr="00807559">
              <w:rPr>
                <w:iCs/>
                <w:sz w:val="22"/>
                <w:szCs w:val="22"/>
                <w:vertAlign w:val="superscript"/>
                <w:lang w:val="lt-LT"/>
              </w:rPr>
              <w:t xml:space="preserve">2 </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Pr="0090237F">
              <w:rPr>
                <w:sz w:val="22"/>
                <w:szCs w:val="22"/>
                <w:lang w:val="lt-LT"/>
              </w:rPr>
              <w:t xml:space="preserve">kūno paviršiaus ploto arba 20 mg/ kg kūno svorio) </w:t>
            </w:r>
            <w:r>
              <w:rPr>
                <w:sz w:val="22"/>
                <w:szCs w:val="22"/>
                <w:lang w:val="lt-LT"/>
              </w:rPr>
              <w:t>leidžiama</w:t>
            </w:r>
            <w:r w:rsidRPr="0090237F">
              <w:rPr>
                <w:sz w:val="22"/>
                <w:szCs w:val="22"/>
                <w:lang w:val="lt-LT"/>
              </w:rPr>
              <w:t xml:space="preserve"> kas 24 valandas.</w:t>
            </w:r>
          </w:p>
        </w:tc>
      </w:tr>
      <w:tr w:rsidR="00111F16" w:rsidRPr="0090237F" w:rsidTr="00F16D93">
        <w:trPr>
          <w:trHeight w:val="1849"/>
        </w:trPr>
        <w:tc>
          <w:tcPr>
            <w:tcW w:w="4361" w:type="dxa"/>
            <w:tcBorders>
              <w:top w:val="single" w:sz="4" w:space="0" w:color="auto"/>
              <w:left w:val="single" w:sz="6" w:space="0" w:color="auto"/>
              <w:bottom w:val="single" w:sz="6" w:space="0" w:color="auto"/>
              <w:right w:val="single" w:sz="6" w:space="0" w:color="auto"/>
            </w:tcBorders>
          </w:tcPr>
          <w:p w:rsidR="00111F16" w:rsidRPr="0090237F" w:rsidRDefault="00111F16" w:rsidP="00F16D93">
            <w:pPr>
              <w:widowControl w:val="0"/>
              <w:tabs>
                <w:tab w:val="left" w:pos="520"/>
              </w:tabs>
              <w:rPr>
                <w:sz w:val="22"/>
                <w:szCs w:val="22"/>
              </w:rPr>
            </w:pPr>
            <w:r w:rsidRPr="0090237F">
              <w:rPr>
                <w:sz w:val="22"/>
                <w:szCs w:val="22"/>
              </w:rPr>
              <w:t>0  – 10 ml/min</w:t>
            </w:r>
            <w:r>
              <w:rPr>
                <w:sz w:val="22"/>
                <w:szCs w:val="22"/>
              </w:rPr>
              <w:t>.</w:t>
            </w:r>
            <w:r w:rsidRPr="0090237F">
              <w:rPr>
                <w:sz w:val="22"/>
                <w:szCs w:val="22"/>
              </w:rPr>
              <w:t>/1,73</w:t>
            </w:r>
            <w:r w:rsidRPr="00807559">
              <w:rPr>
                <w:iCs/>
                <w:sz w:val="22"/>
                <w:szCs w:val="22"/>
              </w:rPr>
              <w:t>m</w:t>
            </w:r>
            <w:r w:rsidRPr="00807559">
              <w:rPr>
                <w:iCs/>
                <w:sz w:val="22"/>
                <w:szCs w:val="22"/>
                <w:vertAlign w:val="superscript"/>
              </w:rPr>
              <w:t>2</w:t>
            </w:r>
          </w:p>
        </w:tc>
        <w:tc>
          <w:tcPr>
            <w:tcW w:w="4678" w:type="dxa"/>
            <w:tcBorders>
              <w:top w:val="single" w:sz="4" w:space="0" w:color="auto"/>
              <w:left w:val="single" w:sz="6" w:space="0" w:color="auto"/>
              <w:bottom w:val="single" w:sz="6" w:space="0" w:color="auto"/>
              <w:right w:val="single" w:sz="6" w:space="0" w:color="auto"/>
            </w:tcBorders>
          </w:tcPr>
          <w:p w:rsidR="00111F16" w:rsidRPr="0090237F" w:rsidRDefault="00111F16" w:rsidP="00F16D93">
            <w:pPr>
              <w:pStyle w:val="prastasiniatinklio"/>
              <w:widowControl w:val="0"/>
              <w:spacing w:before="0" w:beforeAutospacing="0" w:after="0" w:afterAutospacing="0"/>
              <w:rPr>
                <w:sz w:val="22"/>
                <w:szCs w:val="22"/>
                <w:lang w:val="lt-LT"/>
              </w:rPr>
            </w:pPr>
            <w:r w:rsidRPr="0090237F">
              <w:rPr>
                <w:sz w:val="22"/>
                <w:szCs w:val="22"/>
                <w:lang w:val="lt-LT"/>
              </w:rPr>
              <w:t>Hemodializės atveju aukščiau paminėta rekomenduojama dozė (250 arba 500 mg/</w:t>
            </w:r>
            <w:r w:rsidRPr="00807559">
              <w:rPr>
                <w:iCs/>
                <w:sz w:val="22"/>
                <w:szCs w:val="22"/>
                <w:lang w:val="lt-LT"/>
              </w:rPr>
              <w:t>m</w:t>
            </w:r>
            <w:r w:rsidRPr="00807559">
              <w:rPr>
                <w:iCs/>
                <w:sz w:val="22"/>
                <w:szCs w:val="22"/>
                <w:vertAlign w:val="superscript"/>
                <w:lang w:val="lt-LT"/>
              </w:rPr>
              <w:t xml:space="preserve">2 </w:t>
            </w:r>
            <w:r w:rsidRPr="0090237F">
              <w:rPr>
                <w:sz w:val="22"/>
                <w:szCs w:val="22"/>
                <w:lang w:val="lt-LT"/>
              </w:rPr>
              <w:t xml:space="preserve">kūno paviršiaus ploto arba 20 mg/kg kūno svorio) sumažinama per pusę ir </w:t>
            </w:r>
            <w:r>
              <w:rPr>
                <w:sz w:val="22"/>
                <w:szCs w:val="22"/>
                <w:lang w:val="lt-LT"/>
              </w:rPr>
              <w:t>leidžiama</w:t>
            </w:r>
            <w:r w:rsidRPr="0090237F">
              <w:rPr>
                <w:sz w:val="22"/>
                <w:szCs w:val="22"/>
                <w:lang w:val="lt-LT"/>
              </w:rPr>
              <w:t xml:space="preserve"> kas 24 valandas ir po dializės.</w:t>
            </w:r>
          </w:p>
          <w:p w:rsidR="00111F16" w:rsidRPr="0090237F" w:rsidRDefault="00111F16" w:rsidP="00F16D93">
            <w:pPr>
              <w:pStyle w:val="prastasiniatinklio"/>
              <w:widowControl w:val="0"/>
              <w:spacing w:before="0" w:beforeAutospacing="0" w:after="0" w:afterAutospacing="0"/>
              <w:rPr>
                <w:sz w:val="22"/>
                <w:szCs w:val="22"/>
                <w:lang w:val="lt-LT"/>
              </w:rPr>
            </w:pPr>
            <w:r w:rsidRPr="0090237F">
              <w:rPr>
                <w:sz w:val="22"/>
                <w:szCs w:val="22"/>
                <w:lang w:val="lt-LT"/>
              </w:rPr>
              <w:t xml:space="preserve">Nuolatinės ambulatorinės </w:t>
            </w:r>
            <w:proofErr w:type="spellStart"/>
            <w:r w:rsidRPr="0090237F">
              <w:rPr>
                <w:sz w:val="22"/>
                <w:szCs w:val="22"/>
                <w:lang w:val="lt-LT"/>
              </w:rPr>
              <w:t>peritoninės</w:t>
            </w:r>
            <w:proofErr w:type="spellEnd"/>
            <w:r w:rsidRPr="0090237F">
              <w:rPr>
                <w:sz w:val="22"/>
                <w:szCs w:val="22"/>
                <w:lang w:val="lt-LT"/>
              </w:rPr>
              <w:t xml:space="preserve"> dializės (NAPD) atveju aukščiau paminėta rekomenduojama dozė (250 arba 500 mg/</w:t>
            </w:r>
            <w:r w:rsidRPr="00807559">
              <w:rPr>
                <w:iCs/>
                <w:sz w:val="22"/>
                <w:szCs w:val="22"/>
                <w:lang w:val="lt-LT"/>
              </w:rPr>
              <w:t>m</w:t>
            </w:r>
            <w:r w:rsidRPr="00807559">
              <w:rPr>
                <w:iCs/>
                <w:sz w:val="22"/>
                <w:szCs w:val="22"/>
                <w:vertAlign w:val="superscript"/>
                <w:lang w:val="lt-LT"/>
              </w:rPr>
              <w:t xml:space="preserve">2 </w:t>
            </w:r>
            <w:r w:rsidRPr="0090237F">
              <w:rPr>
                <w:sz w:val="22"/>
                <w:szCs w:val="22"/>
                <w:lang w:val="lt-LT"/>
              </w:rPr>
              <w:t xml:space="preserve">kūno paviršiaus ploto arba 20 mg/kg kūno svorio) sumažinama per pusę ir </w:t>
            </w:r>
            <w:r>
              <w:rPr>
                <w:sz w:val="22"/>
                <w:szCs w:val="22"/>
                <w:lang w:val="lt-LT"/>
              </w:rPr>
              <w:t>leidžiama</w:t>
            </w:r>
            <w:r w:rsidRPr="0090237F">
              <w:rPr>
                <w:sz w:val="22"/>
                <w:szCs w:val="22"/>
                <w:lang w:val="lt-LT"/>
              </w:rPr>
              <w:t xml:space="preserve"> kas 24 valandas.</w:t>
            </w:r>
          </w:p>
        </w:tc>
      </w:tr>
    </w:tbl>
    <w:p w:rsidR="00111F16" w:rsidRPr="0090237F" w:rsidRDefault="00111F16" w:rsidP="00111F16">
      <w:pPr>
        <w:pStyle w:val="Pagrindinistekstas"/>
        <w:widowControl w:val="0"/>
        <w:rPr>
          <w:szCs w:val="22"/>
          <w:lang w:val="lt-LT"/>
        </w:rPr>
      </w:pPr>
    </w:p>
    <w:p w:rsidR="00111F16" w:rsidRDefault="00111F16" w:rsidP="00111F16">
      <w:pPr>
        <w:widowControl w:val="0"/>
        <w:ind w:right="-143"/>
        <w:rPr>
          <w:sz w:val="22"/>
          <w:szCs w:val="22"/>
        </w:rPr>
      </w:pPr>
      <w:r>
        <w:rPr>
          <w:sz w:val="22"/>
          <w:szCs w:val="22"/>
        </w:rPr>
        <w:t>Vartojimo būdas</w:t>
      </w:r>
    </w:p>
    <w:p w:rsidR="00111F16" w:rsidRPr="0090237F" w:rsidRDefault="00111F16" w:rsidP="00111F16">
      <w:pPr>
        <w:widowControl w:val="0"/>
        <w:ind w:right="-143"/>
        <w:rPr>
          <w:sz w:val="22"/>
          <w:szCs w:val="22"/>
        </w:rPr>
      </w:pPr>
      <w:r w:rsidRPr="0090237F">
        <w:rPr>
          <w:sz w:val="22"/>
          <w:szCs w:val="22"/>
        </w:rPr>
        <w:t xml:space="preserve">Į veną acikloviro visada </w:t>
      </w:r>
      <w:r>
        <w:rPr>
          <w:sz w:val="22"/>
          <w:szCs w:val="22"/>
        </w:rPr>
        <w:t>leidžiama</w:t>
      </w:r>
      <w:r w:rsidRPr="0090237F">
        <w:rPr>
          <w:sz w:val="22"/>
          <w:szCs w:val="22"/>
        </w:rPr>
        <w:t xml:space="preserve"> lėtai (infuzija turi trukti mažiausiai vieną valandą).</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outlineLvl w:val="0"/>
        <w:rPr>
          <w:szCs w:val="22"/>
          <w:lang w:val="lt-LT"/>
        </w:rPr>
      </w:pPr>
      <w:r w:rsidRPr="0090237F">
        <w:rPr>
          <w:b/>
          <w:szCs w:val="22"/>
          <w:lang w:val="lt-LT"/>
        </w:rPr>
        <w:t xml:space="preserve">Ką daryti pavartojus per didelę </w:t>
      </w:r>
      <w:proofErr w:type="spellStart"/>
      <w:r w:rsidRPr="0090237F">
        <w:rPr>
          <w:b/>
          <w:szCs w:val="22"/>
          <w:lang w:val="lt-LT"/>
        </w:rPr>
        <w:t>Virolex</w:t>
      </w:r>
      <w:proofErr w:type="spellEnd"/>
      <w:r w:rsidRPr="0090237F">
        <w:rPr>
          <w:b/>
          <w:szCs w:val="22"/>
          <w:lang w:val="lt-LT"/>
        </w:rPr>
        <w:t xml:space="preserve"> dozę?</w:t>
      </w:r>
    </w:p>
    <w:p w:rsidR="00111F16" w:rsidRPr="0090237F" w:rsidRDefault="00111F16" w:rsidP="00111F16">
      <w:pPr>
        <w:pStyle w:val="Pagrindinistekstas"/>
        <w:widowControl w:val="0"/>
        <w:rPr>
          <w:szCs w:val="22"/>
          <w:lang w:val="lt-LT"/>
        </w:rPr>
      </w:pPr>
      <w:r>
        <w:rPr>
          <w:szCs w:val="22"/>
          <w:lang w:val="lt-LT"/>
        </w:rPr>
        <w:t>Leidžiamo</w:t>
      </w:r>
      <w:r w:rsidRPr="0090237F">
        <w:rPr>
          <w:szCs w:val="22"/>
          <w:lang w:val="lt-LT"/>
        </w:rPr>
        <w:t xml:space="preserve"> </w:t>
      </w:r>
      <w:proofErr w:type="spellStart"/>
      <w:r w:rsidRPr="0090237F">
        <w:rPr>
          <w:szCs w:val="22"/>
          <w:lang w:val="lt-LT"/>
        </w:rPr>
        <w:t>Virolex</w:t>
      </w:r>
      <w:proofErr w:type="spellEnd"/>
      <w:r w:rsidRPr="0090237F">
        <w:rPr>
          <w:szCs w:val="22"/>
          <w:lang w:val="lt-LT"/>
        </w:rPr>
        <w:t xml:space="preserve"> perdozavimo pacientui nereikėtų tikėtis, nes šio vaisto dozę, infuzijos greitį ir vartojimo trukmę nustato gydytojas. Jei pasireiškė perdozavimo požymių arba manote, kad Jums </w:t>
      </w:r>
      <w:r>
        <w:rPr>
          <w:szCs w:val="22"/>
          <w:lang w:val="lt-LT"/>
        </w:rPr>
        <w:t>skiriama</w:t>
      </w:r>
      <w:r w:rsidRPr="0090237F">
        <w:rPr>
          <w:szCs w:val="22"/>
          <w:lang w:val="lt-LT"/>
        </w:rPr>
        <w:t xml:space="preserve"> per didelė dozė, apie tai pasakykite gydytojui, kuris prireikus imsis atitinkamų gydymo priemonių ir (arba) </w:t>
      </w:r>
      <w:r w:rsidRPr="00807559">
        <w:rPr>
          <w:szCs w:val="22"/>
          <w:lang w:val="lt-LT"/>
        </w:rPr>
        <w:t>dozę sumažins</w:t>
      </w:r>
      <w:r w:rsidRPr="0090237F">
        <w:rPr>
          <w:szCs w:val="22"/>
          <w:lang w:val="lt-LT"/>
        </w:rPr>
        <w:t>.</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outlineLvl w:val="0"/>
        <w:rPr>
          <w:szCs w:val="22"/>
          <w:lang w:val="lt-LT"/>
        </w:rPr>
      </w:pPr>
      <w:r w:rsidRPr="0090237F">
        <w:rPr>
          <w:b/>
          <w:szCs w:val="22"/>
          <w:lang w:val="lt-LT"/>
        </w:rPr>
        <w:t xml:space="preserve">Pamiršus pavartoti </w:t>
      </w:r>
      <w:proofErr w:type="spellStart"/>
      <w:r w:rsidRPr="0090237F">
        <w:rPr>
          <w:b/>
          <w:szCs w:val="22"/>
          <w:lang w:val="lt-LT"/>
        </w:rPr>
        <w:t>Virolex</w:t>
      </w:r>
      <w:proofErr w:type="spellEnd"/>
    </w:p>
    <w:p w:rsidR="00111F16" w:rsidRPr="0090237F" w:rsidRDefault="00111F16" w:rsidP="00111F16">
      <w:pPr>
        <w:pStyle w:val="Pagrindinistekstas"/>
        <w:widowControl w:val="0"/>
        <w:rPr>
          <w:szCs w:val="22"/>
          <w:lang w:val="lt-LT"/>
        </w:rPr>
      </w:pPr>
      <w:r w:rsidRPr="0090237F">
        <w:rPr>
          <w:szCs w:val="22"/>
          <w:lang w:val="lt-LT"/>
        </w:rPr>
        <w:t xml:space="preserve">Kokiais laiko </w:t>
      </w:r>
      <w:r>
        <w:rPr>
          <w:szCs w:val="22"/>
          <w:lang w:val="lt-LT"/>
        </w:rPr>
        <w:t>intervalais</w:t>
      </w:r>
      <w:r w:rsidRPr="0090237F">
        <w:rPr>
          <w:szCs w:val="22"/>
          <w:lang w:val="lt-LT"/>
        </w:rPr>
        <w:t xml:space="preserve"> </w:t>
      </w:r>
      <w:r>
        <w:rPr>
          <w:szCs w:val="22"/>
          <w:lang w:val="lt-LT"/>
        </w:rPr>
        <w:t>leisti</w:t>
      </w:r>
      <w:r w:rsidRPr="0090237F">
        <w:rPr>
          <w:szCs w:val="22"/>
          <w:lang w:val="lt-LT"/>
        </w:rPr>
        <w:t xml:space="preserve"> šio vaisto, nustato gydytojas. Jei dėl bet kokios priežasties šio vaisto Jums nebuvo </w:t>
      </w:r>
      <w:r>
        <w:rPr>
          <w:szCs w:val="22"/>
          <w:lang w:val="lt-LT"/>
        </w:rPr>
        <w:t>suleista</w:t>
      </w:r>
      <w:r w:rsidRPr="0090237F">
        <w:rPr>
          <w:szCs w:val="22"/>
          <w:lang w:val="lt-LT"/>
        </w:rPr>
        <w:t xml:space="preserve"> laiku, apie tai kuo greičiau praneškite gydytojui.</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outlineLvl w:val="0"/>
        <w:rPr>
          <w:szCs w:val="22"/>
          <w:lang w:val="lt-LT"/>
        </w:rPr>
      </w:pPr>
      <w:r w:rsidRPr="0090237F">
        <w:rPr>
          <w:b/>
          <w:szCs w:val="22"/>
          <w:lang w:val="lt-LT"/>
        </w:rPr>
        <w:t xml:space="preserve">Nustojus vartoti </w:t>
      </w:r>
      <w:proofErr w:type="spellStart"/>
      <w:r w:rsidRPr="0090237F">
        <w:rPr>
          <w:b/>
          <w:szCs w:val="22"/>
          <w:lang w:val="lt-LT"/>
        </w:rPr>
        <w:t>Virolex</w:t>
      </w:r>
      <w:proofErr w:type="spellEnd"/>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outlineLvl w:val="0"/>
        <w:rPr>
          <w:szCs w:val="22"/>
          <w:lang w:val="lt-LT"/>
        </w:rPr>
      </w:pPr>
      <w:r w:rsidRPr="0090237F">
        <w:rPr>
          <w:szCs w:val="22"/>
          <w:lang w:val="lt-LT"/>
        </w:rPr>
        <w:t>Nutraukti šio vaisto vartojimą nepasitarus su gydytoju gali būti pavojinga. Net pasijutus geriau, infekcija gali būti nesunaikinta ir, gydymą baigus per anksti, atsinaujinti.</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Jeigu kiltų daugiau klausimų dėl šio vaisto vartojimo, kreipkitės į gydytoją arba slaugytoją.</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p>
    <w:p w:rsidR="00111F16" w:rsidRPr="0090237F" w:rsidRDefault="00111F16" w:rsidP="00111F16">
      <w:pPr>
        <w:pStyle w:val="PI-1EMEASMCA"/>
        <w:keepNext w:val="0"/>
        <w:widowControl w:val="0"/>
      </w:pPr>
      <w:bookmarkStart w:id="6" w:name="_Toc129243267"/>
      <w:bookmarkStart w:id="7" w:name="_Toc129243142"/>
      <w:r w:rsidRPr="0090237F">
        <w:t>4.</w:t>
      </w:r>
      <w:r w:rsidRPr="0090237F">
        <w:tab/>
        <w:t>Galimas šalutinis poveikis</w:t>
      </w:r>
      <w:bookmarkEnd w:id="6"/>
      <w:bookmarkEnd w:id="7"/>
    </w:p>
    <w:p w:rsidR="00111F16" w:rsidRPr="0090237F" w:rsidRDefault="00111F16" w:rsidP="00111F16">
      <w:pPr>
        <w:pStyle w:val="Pagrindinistekstas"/>
        <w:widowControl w:val="0"/>
        <w:rPr>
          <w:i/>
          <w:szCs w:val="22"/>
          <w:lang w:val="lt-LT"/>
        </w:rPr>
      </w:pPr>
    </w:p>
    <w:p w:rsidR="00111F16" w:rsidRPr="0090237F" w:rsidRDefault="00111F16" w:rsidP="00111F16">
      <w:pPr>
        <w:pStyle w:val="Pagrindinistekstas"/>
        <w:widowControl w:val="0"/>
        <w:outlineLvl w:val="0"/>
        <w:rPr>
          <w:szCs w:val="22"/>
          <w:lang w:val="lt-LT"/>
        </w:rPr>
      </w:pPr>
      <w:r w:rsidRPr="0090237F">
        <w:rPr>
          <w:szCs w:val="22"/>
          <w:lang w:val="lt-LT"/>
        </w:rPr>
        <w:t>Šis vaistas, kaip ir visi kiti, gali sukelti šalutinį poveikį, nors jis pasireiškia ne visiems žmonėms.</w:t>
      </w:r>
    </w:p>
    <w:p w:rsidR="00111F16" w:rsidRPr="0090237F" w:rsidRDefault="00111F16" w:rsidP="00111F16">
      <w:pPr>
        <w:pStyle w:val="Pagrindinistekstas"/>
        <w:widowControl w:val="0"/>
        <w:rPr>
          <w:szCs w:val="22"/>
          <w:lang w:val="lt-LT"/>
        </w:rPr>
      </w:pPr>
    </w:p>
    <w:p w:rsidR="00111F16" w:rsidRPr="00201017" w:rsidRDefault="00111F16" w:rsidP="00111F16">
      <w:pPr>
        <w:pStyle w:val="Pagrindinistekstas"/>
        <w:widowControl w:val="0"/>
        <w:rPr>
          <w:szCs w:val="22"/>
          <w:lang w:val="lt-LT"/>
        </w:rPr>
      </w:pPr>
      <w:r w:rsidRPr="00B4733E">
        <w:rPr>
          <w:szCs w:val="22"/>
          <w:lang w:val="lt-LT"/>
        </w:rPr>
        <w:t xml:space="preserve">Gali pasireikšti </w:t>
      </w:r>
      <w:r w:rsidRPr="00332F05">
        <w:rPr>
          <w:b/>
          <w:lang w:val="lt-LT"/>
        </w:rPr>
        <w:t>alerginės reakcijos</w:t>
      </w:r>
      <w:r w:rsidRPr="00201017">
        <w:rPr>
          <w:szCs w:val="22"/>
          <w:lang w:val="lt-LT"/>
        </w:rPr>
        <w:t xml:space="preserve"> – </w:t>
      </w:r>
      <w:proofErr w:type="spellStart"/>
      <w:r w:rsidRPr="00201017">
        <w:rPr>
          <w:szCs w:val="22"/>
          <w:lang w:val="lt-LT"/>
        </w:rPr>
        <w:t>anafilaksija</w:t>
      </w:r>
      <w:proofErr w:type="spellEnd"/>
      <w:r w:rsidRPr="00201017">
        <w:rPr>
          <w:szCs w:val="22"/>
          <w:lang w:val="lt-LT"/>
        </w:rPr>
        <w:t xml:space="preserve">. </w:t>
      </w:r>
    </w:p>
    <w:p w:rsidR="00111F16" w:rsidRPr="0090237F" w:rsidRDefault="00111F16" w:rsidP="00111F16">
      <w:pPr>
        <w:pStyle w:val="Pagrindinistekstas"/>
        <w:widowControl w:val="0"/>
        <w:rPr>
          <w:szCs w:val="22"/>
          <w:lang w:val="lt-LT"/>
        </w:rPr>
      </w:pPr>
      <w:r w:rsidRPr="0090237F">
        <w:rPr>
          <w:szCs w:val="22"/>
          <w:lang w:val="lt-LT"/>
        </w:rPr>
        <w:t xml:space="preserve">Jei Jums pasireiškė alerginė reakcija, </w:t>
      </w:r>
      <w:r w:rsidRPr="00B4733E">
        <w:rPr>
          <w:szCs w:val="22"/>
          <w:lang w:val="lt-LT"/>
        </w:rPr>
        <w:t>nedelsiant kreipkitės į gydytoją</w:t>
      </w:r>
      <w:r w:rsidRPr="0090237F">
        <w:rPr>
          <w:szCs w:val="22"/>
          <w:lang w:val="lt-LT"/>
        </w:rPr>
        <w:t>. Alerginės reakcijos galimi požymiai:</w:t>
      </w:r>
    </w:p>
    <w:p w:rsidR="00111F16" w:rsidRPr="0090237F" w:rsidRDefault="00111F16" w:rsidP="00111F16">
      <w:pPr>
        <w:pStyle w:val="BT-EMEASMCA"/>
        <w:widowControl w:val="0"/>
        <w:tabs>
          <w:tab w:val="clear" w:pos="720"/>
        </w:tabs>
        <w:ind w:left="567" w:hanging="567"/>
        <w:rPr>
          <w:noProof w:val="0"/>
        </w:rPr>
      </w:pPr>
      <w:r w:rsidRPr="0090237F">
        <w:rPr>
          <w:noProof w:val="0"/>
        </w:rPr>
        <w:t>išbėrimas, niežulys arba odos dilgėlinė</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veido, lūpų, liežuvio ar kitų kūno dalių patinimas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dusulys, švokštimas arba kvėpavimo sutrikimai</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karščiavimas be aiškios priežasties (aukšta temperatūra) ir alpimo pojūtis, ypač stojantis</w:t>
      </w:r>
      <w:r>
        <w:rPr>
          <w:noProof w:val="0"/>
        </w:rPr>
        <w:t>.</w:t>
      </w:r>
    </w:p>
    <w:p w:rsidR="00111F16" w:rsidRPr="0090237F" w:rsidRDefault="00111F16" w:rsidP="00111F16">
      <w:pPr>
        <w:widowControl w:val="0"/>
        <w:jc w:val="both"/>
        <w:rPr>
          <w:sz w:val="22"/>
          <w:szCs w:val="22"/>
        </w:rPr>
      </w:pPr>
    </w:p>
    <w:p w:rsidR="00111F16" w:rsidRPr="00B4733E" w:rsidRDefault="00111F16" w:rsidP="00111F16">
      <w:pPr>
        <w:widowControl w:val="0"/>
        <w:jc w:val="both"/>
        <w:rPr>
          <w:i/>
          <w:sz w:val="22"/>
          <w:szCs w:val="22"/>
        </w:rPr>
      </w:pPr>
      <w:r w:rsidRPr="00B4733E">
        <w:rPr>
          <w:i/>
          <w:sz w:val="22"/>
          <w:szCs w:val="22"/>
        </w:rPr>
        <w:t>Dažnas šalutinis poveikis (gali pasireikšti mažiau nei 1 iš 10 vaisto vartojusiųjų):</w:t>
      </w:r>
    </w:p>
    <w:p w:rsidR="00111F16" w:rsidRPr="0090237F" w:rsidRDefault="00111F16" w:rsidP="00111F16">
      <w:pPr>
        <w:pStyle w:val="BT-EMEASMCA"/>
        <w:widowControl w:val="0"/>
        <w:tabs>
          <w:tab w:val="clear" w:pos="720"/>
        </w:tabs>
        <w:ind w:left="567" w:hanging="567"/>
        <w:rPr>
          <w:noProof w:val="0"/>
        </w:rPr>
      </w:pPr>
      <w:r w:rsidRPr="0090237F">
        <w:rPr>
          <w:noProof w:val="0"/>
        </w:rPr>
        <w:t>pykinimas ar vėmimas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niežtin</w:t>
      </w:r>
      <w:r>
        <w:rPr>
          <w:noProof w:val="0"/>
        </w:rPr>
        <w:t>t</w:t>
      </w:r>
      <w:r w:rsidRPr="0090237F">
        <w:rPr>
          <w:noProof w:val="0"/>
        </w:rPr>
        <w:t xml:space="preserve">is, į dilgėlinę panašus </w:t>
      </w:r>
      <w:r>
        <w:rPr>
          <w:noProof w:val="0"/>
        </w:rPr>
        <w:t>iš</w:t>
      </w:r>
      <w:r w:rsidRPr="0090237F">
        <w:rPr>
          <w:noProof w:val="0"/>
        </w:rPr>
        <w:t>bėrimas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odos reakcijos, pasireiškiančio po buvimo </w:t>
      </w:r>
      <w:r w:rsidRPr="00807559">
        <w:rPr>
          <w:noProof w:val="0"/>
        </w:rPr>
        <w:t>šviesoje (jautrumas</w:t>
      </w:r>
      <w:r w:rsidRPr="0090237F">
        <w:rPr>
          <w:noProof w:val="0"/>
        </w:rPr>
        <w:t xml:space="preserve"> šviesai)</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niež</w:t>
      </w:r>
      <w:r>
        <w:rPr>
          <w:noProof w:val="0"/>
        </w:rPr>
        <w:t>uly</w:t>
      </w:r>
      <w:r w:rsidRPr="0090237F">
        <w:rPr>
          <w:noProof w:val="0"/>
        </w:rPr>
        <w:t>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injekcijos vietos patinimas, paraudimas ir jautrumas</w:t>
      </w:r>
      <w:r>
        <w:rPr>
          <w:noProof w:val="0"/>
        </w:rPr>
        <w:t xml:space="preserve"> (uždegimas);</w:t>
      </w:r>
    </w:p>
    <w:p w:rsidR="00111F16" w:rsidRPr="0090237F" w:rsidRDefault="00111F16" w:rsidP="00111F16">
      <w:pPr>
        <w:pStyle w:val="BT-EMEASMCA"/>
        <w:widowControl w:val="0"/>
        <w:tabs>
          <w:tab w:val="clear" w:pos="720"/>
        </w:tabs>
        <w:ind w:left="567" w:hanging="567"/>
        <w:rPr>
          <w:noProof w:val="0"/>
        </w:rPr>
      </w:pPr>
      <w:r w:rsidRPr="0090237F">
        <w:rPr>
          <w:noProof w:val="0"/>
        </w:rPr>
        <w:t>kepenų fermentų aktyvumo padidėjimas;</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šlapalo ir </w:t>
      </w:r>
      <w:proofErr w:type="spellStart"/>
      <w:r w:rsidRPr="0090237F">
        <w:rPr>
          <w:noProof w:val="0"/>
        </w:rPr>
        <w:t>kreatinino</w:t>
      </w:r>
      <w:proofErr w:type="spellEnd"/>
      <w:r w:rsidRPr="0090237F">
        <w:rPr>
          <w:noProof w:val="0"/>
        </w:rPr>
        <w:t xml:space="preserve"> kiekio kraujyje padidėjimas</w:t>
      </w:r>
      <w:r>
        <w:rPr>
          <w:noProof w:val="0"/>
        </w:rPr>
        <w:t>.</w:t>
      </w:r>
    </w:p>
    <w:p w:rsidR="00111F16" w:rsidRPr="0090237F" w:rsidRDefault="00111F16" w:rsidP="00111F16">
      <w:pPr>
        <w:widowControl w:val="0"/>
        <w:ind w:left="567" w:hanging="567"/>
        <w:rPr>
          <w:i/>
          <w:sz w:val="22"/>
          <w:szCs w:val="22"/>
        </w:rPr>
      </w:pPr>
    </w:p>
    <w:p w:rsidR="00111F16" w:rsidRPr="00B4733E" w:rsidRDefault="00111F16" w:rsidP="00111F16">
      <w:pPr>
        <w:widowControl w:val="0"/>
        <w:ind w:left="567" w:hanging="567"/>
        <w:rPr>
          <w:i/>
          <w:sz w:val="22"/>
          <w:szCs w:val="22"/>
        </w:rPr>
      </w:pPr>
      <w:r w:rsidRPr="00B4733E">
        <w:rPr>
          <w:i/>
          <w:sz w:val="22"/>
          <w:szCs w:val="22"/>
        </w:rPr>
        <w:t>Nedažnas šalutinis poveikis (gali pasireikšti mažiau nei 1 iš 100 vaisto vartojusiųjų):</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neįprastas kraujavimas iš nosies, mėlynių atsiradimas </w:t>
      </w:r>
      <w:r w:rsidRPr="00807559">
        <w:rPr>
          <w:noProof w:val="0"/>
        </w:rPr>
        <w:t>(</w:t>
      </w:r>
      <w:r>
        <w:rPr>
          <w:noProof w:val="0"/>
        </w:rPr>
        <w:t xml:space="preserve">trombocitų skaičiaus </w:t>
      </w:r>
      <w:proofErr w:type="spellStart"/>
      <w:r>
        <w:rPr>
          <w:noProof w:val="0"/>
        </w:rPr>
        <w:t>sumžėjimo</w:t>
      </w:r>
      <w:proofErr w:type="spellEnd"/>
      <w:r w:rsidRPr="0090237F">
        <w:rPr>
          <w:noProof w:val="0"/>
        </w:rPr>
        <w:t xml:space="preserve"> požymiai)</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anemija (raudonųjų kraujo ląstelių </w:t>
      </w:r>
      <w:r>
        <w:rPr>
          <w:noProof w:val="0"/>
        </w:rPr>
        <w:t>skaičiaus</w:t>
      </w:r>
      <w:r w:rsidRPr="0090237F">
        <w:rPr>
          <w:noProof w:val="0"/>
        </w:rPr>
        <w:t xml:space="preserve"> kraujyje sumažėjimas), </w:t>
      </w:r>
      <w:proofErr w:type="spellStart"/>
      <w:r w:rsidRPr="0090237F">
        <w:rPr>
          <w:noProof w:val="0"/>
        </w:rPr>
        <w:t>leukopenija</w:t>
      </w:r>
      <w:proofErr w:type="spellEnd"/>
      <w:r w:rsidRPr="0090237F">
        <w:rPr>
          <w:noProof w:val="0"/>
        </w:rPr>
        <w:t xml:space="preserve"> (baltųjų kraujo ląstelių </w:t>
      </w:r>
      <w:r>
        <w:rPr>
          <w:noProof w:val="0"/>
        </w:rPr>
        <w:t>skaičiaus</w:t>
      </w:r>
      <w:r w:rsidRPr="0090237F">
        <w:rPr>
          <w:noProof w:val="0"/>
        </w:rPr>
        <w:t xml:space="preserve"> kraujyje sumažėjimas).</w:t>
      </w:r>
    </w:p>
    <w:p w:rsidR="00111F16" w:rsidRPr="0090237F" w:rsidRDefault="00111F16" w:rsidP="00111F16">
      <w:pPr>
        <w:widowControl w:val="0"/>
        <w:ind w:left="567" w:hanging="567"/>
        <w:rPr>
          <w:sz w:val="22"/>
          <w:szCs w:val="22"/>
        </w:rPr>
      </w:pPr>
    </w:p>
    <w:p w:rsidR="00111F16" w:rsidRPr="00B4733E" w:rsidRDefault="00111F16" w:rsidP="00111F16">
      <w:pPr>
        <w:widowControl w:val="0"/>
        <w:rPr>
          <w:i/>
          <w:sz w:val="22"/>
          <w:szCs w:val="22"/>
        </w:rPr>
      </w:pPr>
      <w:r w:rsidRPr="00B4733E">
        <w:rPr>
          <w:i/>
          <w:sz w:val="22"/>
          <w:szCs w:val="22"/>
        </w:rPr>
        <w:t>Labai retas šalutinis poveikis (gali pasireikšti mažiau nei 1 iš 10 000 vaisto vartojusiųjų):</w:t>
      </w:r>
    </w:p>
    <w:p w:rsidR="00111F16" w:rsidRPr="0090237F" w:rsidRDefault="00111F16" w:rsidP="00111F16">
      <w:pPr>
        <w:pStyle w:val="BT-EMEASMCA"/>
        <w:widowControl w:val="0"/>
        <w:tabs>
          <w:tab w:val="clear" w:pos="720"/>
        </w:tabs>
        <w:ind w:left="567" w:hanging="567"/>
        <w:rPr>
          <w:noProof w:val="0"/>
        </w:rPr>
      </w:pPr>
      <w:r w:rsidRPr="0090237F">
        <w:rPr>
          <w:noProof w:val="0"/>
        </w:rPr>
        <w:t>susijaudinimas, sumišimas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haliucinacijos (nesamų daiktų matymas arba jutimas)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psichikos sutrikimas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galvos skausmas, svaigulys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drebulys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eisenos sutrikimai, ko</w:t>
      </w:r>
      <w:r w:rsidRPr="00807559">
        <w:rPr>
          <w:noProof w:val="0"/>
        </w:rPr>
        <w:t>o</w:t>
      </w:r>
      <w:r w:rsidRPr="0090237F">
        <w:rPr>
          <w:noProof w:val="0"/>
        </w:rPr>
        <w:t>rdinacijos stoka</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kalbos sutrikimai</w:t>
      </w:r>
      <w:r>
        <w:rPr>
          <w:noProof w:val="0"/>
        </w:rPr>
        <w:t>;</w:t>
      </w:r>
      <w:r w:rsidRPr="0090237F">
        <w:rPr>
          <w:noProof w:val="0"/>
        </w:rPr>
        <w:t xml:space="preserve"> </w:t>
      </w:r>
    </w:p>
    <w:p w:rsidR="00111F16" w:rsidRPr="0090237F" w:rsidRDefault="00111F16" w:rsidP="00111F16">
      <w:pPr>
        <w:pStyle w:val="BT-EMEASMCA"/>
        <w:widowControl w:val="0"/>
        <w:tabs>
          <w:tab w:val="clear" w:pos="720"/>
        </w:tabs>
        <w:ind w:left="567" w:hanging="567"/>
        <w:rPr>
          <w:noProof w:val="0"/>
        </w:rPr>
      </w:pPr>
      <w:r w:rsidRPr="0090237F">
        <w:rPr>
          <w:noProof w:val="0"/>
        </w:rPr>
        <w:t>konvulsijos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mieguistumas ar apsnūdimo pojūtis</w:t>
      </w:r>
      <w:r>
        <w:rPr>
          <w:noProof w:val="0"/>
        </w:rPr>
        <w:t>;</w:t>
      </w:r>
    </w:p>
    <w:p w:rsidR="00111F16" w:rsidRPr="0090237F" w:rsidRDefault="00111F16" w:rsidP="00111F16">
      <w:pPr>
        <w:pStyle w:val="BT-EMEASMCA"/>
        <w:widowControl w:val="0"/>
        <w:tabs>
          <w:tab w:val="clear" w:pos="720"/>
        </w:tabs>
        <w:ind w:left="567" w:hanging="567"/>
        <w:rPr>
          <w:noProof w:val="0"/>
        </w:rPr>
      </w:pPr>
      <w:proofErr w:type="spellStart"/>
      <w:r w:rsidRPr="0090237F">
        <w:rPr>
          <w:noProof w:val="0"/>
        </w:rPr>
        <w:t>encefalopatija</w:t>
      </w:r>
      <w:proofErr w:type="spellEnd"/>
      <w:r w:rsidRPr="0090237F">
        <w:rPr>
          <w:noProof w:val="0"/>
        </w:rPr>
        <w:t xml:space="preserve"> (galvos smegenų liga)</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s</w:t>
      </w:r>
      <w:r w:rsidRPr="00807559">
        <w:rPr>
          <w:noProof w:val="0"/>
        </w:rPr>
        <w:t>ą</w:t>
      </w:r>
      <w:r w:rsidRPr="0090237F">
        <w:rPr>
          <w:noProof w:val="0"/>
        </w:rPr>
        <w:t>monės netekimas (koma)</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dusulys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viduriavimas, pilvo skausmas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nuovargis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karščiavimas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kai kurių šlapalo kiekio kraujyje tyrimų pasikeitimai</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silpnumas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kepenų uždegimas (hepatitas), </w:t>
      </w:r>
      <w:proofErr w:type="spellStart"/>
      <w:r w:rsidRPr="0090237F">
        <w:rPr>
          <w:noProof w:val="0"/>
        </w:rPr>
        <w:t>bilirubino</w:t>
      </w:r>
      <w:proofErr w:type="spellEnd"/>
      <w:r w:rsidRPr="0090237F">
        <w:rPr>
          <w:noProof w:val="0"/>
        </w:rPr>
        <w:t xml:space="preserve"> kiekio padidėjimas</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odos ir akių baltymų pageltimas (gelta)</w:t>
      </w:r>
      <w:r>
        <w:rPr>
          <w:noProof w:val="0"/>
        </w:rPr>
        <w:t>;</w:t>
      </w:r>
    </w:p>
    <w:p w:rsidR="00111F16" w:rsidRPr="0090237F" w:rsidRDefault="00111F16" w:rsidP="00111F16">
      <w:pPr>
        <w:pStyle w:val="BT-EMEASMCA"/>
        <w:widowControl w:val="0"/>
        <w:tabs>
          <w:tab w:val="clear" w:pos="720"/>
        </w:tabs>
        <w:ind w:left="567" w:hanging="567"/>
        <w:rPr>
          <w:noProof w:val="0"/>
        </w:rPr>
      </w:pPr>
      <w:r w:rsidRPr="0090237F">
        <w:rPr>
          <w:noProof w:val="0"/>
        </w:rPr>
        <w:t>inkstų sutrikimai, kai sumažėja išskiriamo šlapimo kiekis, ūminis inkstų nepakankamumas</w:t>
      </w:r>
      <w:r>
        <w:rPr>
          <w:noProof w:val="0"/>
        </w:rPr>
        <w:t>;</w:t>
      </w:r>
    </w:p>
    <w:p w:rsidR="00111F16" w:rsidRPr="006473EC" w:rsidRDefault="00111F16" w:rsidP="00111F16">
      <w:pPr>
        <w:pStyle w:val="BT-EMEASMCA"/>
        <w:widowControl w:val="0"/>
        <w:tabs>
          <w:tab w:val="clear" w:pos="720"/>
        </w:tabs>
        <w:ind w:left="567" w:hanging="567"/>
        <w:rPr>
          <w:noProof w:val="0"/>
        </w:rPr>
      </w:pPr>
      <w:r w:rsidRPr="0090237F">
        <w:rPr>
          <w:noProof w:val="0"/>
        </w:rPr>
        <w:t>apatinės nugaros dalies, inkstų skausmas ar skausmas virš klubų (inkstų skausmas)</w:t>
      </w:r>
      <w:r>
        <w:rPr>
          <w:noProof w:val="0"/>
        </w:rPr>
        <w:t>;</w:t>
      </w:r>
    </w:p>
    <w:p w:rsidR="00111F16" w:rsidRPr="0090237F" w:rsidRDefault="00111F16" w:rsidP="00111F16">
      <w:pPr>
        <w:pStyle w:val="naslovSmPC-a"/>
        <w:widowControl w:val="0"/>
        <w:spacing w:before="0" w:after="0" w:line="240" w:lineRule="auto"/>
        <w:rPr>
          <w:rFonts w:ascii="Times New Roman" w:hAnsi="Times New Roman"/>
          <w:b w:val="0"/>
          <w:sz w:val="22"/>
          <w:szCs w:val="22"/>
          <w:lang w:val="lt-LT"/>
        </w:rPr>
      </w:pPr>
    </w:p>
    <w:p w:rsidR="00111F16" w:rsidRPr="006B77CE" w:rsidRDefault="00111F16" w:rsidP="00111F16">
      <w:pPr>
        <w:rPr>
          <w:b/>
          <w:sz w:val="22"/>
          <w:szCs w:val="22"/>
          <w:lang w:val="lt-LT"/>
        </w:rPr>
      </w:pPr>
      <w:r w:rsidRPr="006B77CE">
        <w:rPr>
          <w:b/>
          <w:noProof/>
          <w:sz w:val="22"/>
          <w:szCs w:val="22"/>
          <w:lang w:val="lt-LT"/>
        </w:rPr>
        <w:t>Pranešimas apie šalutinį poveikį</w:t>
      </w:r>
    </w:p>
    <w:p w:rsidR="00111F16" w:rsidRPr="006B77CE" w:rsidRDefault="00111F16" w:rsidP="00111F16">
      <w:pPr>
        <w:ind w:right="-449"/>
        <w:rPr>
          <w:noProof/>
          <w:sz w:val="22"/>
          <w:szCs w:val="22"/>
          <w:lang w:val="lt-LT"/>
        </w:rPr>
      </w:pPr>
      <w:r w:rsidRPr="006B77CE">
        <w:rPr>
          <w:sz w:val="22"/>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B77CE">
        <w:rPr>
          <w:sz w:val="22"/>
          <w:szCs w:val="22"/>
          <w:lang w:val="lt-LT" w:eastAsia="zh-CN"/>
        </w:rPr>
        <w:t>elefonu 8 800 73568</w:t>
      </w:r>
      <w:r w:rsidRPr="006B77CE">
        <w:rPr>
          <w:sz w:val="22"/>
          <w:szCs w:val="22"/>
          <w:lang w:val="lt-LT"/>
        </w:rPr>
        <w:t xml:space="preserve"> arba užpildyti interneto svetainėje </w:t>
      </w:r>
      <w:hyperlink r:id="rId5" w:history="1">
        <w:r w:rsidRPr="006B77CE">
          <w:rPr>
            <w:rStyle w:val="Hipersaitas"/>
            <w:rFonts w:eastAsia="SimSun"/>
            <w:sz w:val="22"/>
            <w:szCs w:val="22"/>
            <w:lang w:val="lt-LT"/>
          </w:rPr>
          <w:t>www.vvkt.lt</w:t>
        </w:r>
      </w:hyperlink>
      <w:r w:rsidRPr="006B77CE">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6B77CE">
        <w:rPr>
          <w:sz w:val="22"/>
          <w:szCs w:val="22"/>
          <w:lang w:val="lt-LT" w:eastAsia="zh-CN"/>
        </w:rPr>
        <w:t xml:space="preserve">nemokamu </w:t>
      </w:r>
      <w:r w:rsidRPr="006B77CE">
        <w:rPr>
          <w:sz w:val="22"/>
          <w:szCs w:val="22"/>
          <w:lang w:val="lt-LT"/>
        </w:rPr>
        <w:t>fakso numeriu 8 800 20131</w:t>
      </w:r>
      <w:r w:rsidRPr="006B77CE">
        <w:rPr>
          <w:sz w:val="22"/>
          <w:szCs w:val="22"/>
          <w:lang w:val="lt-LT" w:eastAsia="zh-CN"/>
        </w:rPr>
        <w:t xml:space="preserve">, </w:t>
      </w:r>
      <w:r w:rsidRPr="006B77CE">
        <w:rPr>
          <w:sz w:val="22"/>
          <w:szCs w:val="22"/>
          <w:lang w:val="lt-LT"/>
        </w:rPr>
        <w:t xml:space="preserve">el. paštu </w:t>
      </w:r>
      <w:hyperlink r:id="rId6" w:history="1">
        <w:r w:rsidRPr="006B77CE">
          <w:rPr>
            <w:rStyle w:val="Hipersaitas"/>
            <w:rFonts w:eastAsia="SimSun"/>
            <w:sz w:val="22"/>
            <w:szCs w:val="22"/>
            <w:lang w:val="lt-LT"/>
          </w:rPr>
          <w:t>NepageidaujamaR@vvkt.lt</w:t>
        </w:r>
      </w:hyperlink>
      <w:r w:rsidRPr="006B77CE">
        <w:rPr>
          <w:sz w:val="22"/>
          <w:szCs w:val="22"/>
          <w:lang w:val="lt-LT"/>
        </w:rPr>
        <w:t xml:space="preserve">, taip pat per Valstybinės vaistų kontrolės tarnybos prie Lietuvos Respublikos sveikatos apsaugos ministerijos </w:t>
      </w:r>
      <w:r w:rsidRPr="006B77CE">
        <w:rPr>
          <w:sz w:val="22"/>
          <w:szCs w:val="22"/>
          <w:lang w:val="lt-LT"/>
        </w:rPr>
        <w:lastRenderedPageBreak/>
        <w:t xml:space="preserve">interneto svetainę (adresu </w:t>
      </w:r>
      <w:hyperlink r:id="rId7" w:history="1">
        <w:r w:rsidRPr="006B77CE">
          <w:rPr>
            <w:rStyle w:val="Hipersaitas"/>
            <w:rFonts w:eastAsia="SimSun"/>
            <w:sz w:val="22"/>
            <w:szCs w:val="22"/>
            <w:lang w:val="lt-LT"/>
          </w:rPr>
          <w:t>http://www.vvkt.lt</w:t>
        </w:r>
      </w:hyperlink>
      <w:r w:rsidRPr="006B77CE">
        <w:rPr>
          <w:sz w:val="22"/>
          <w:szCs w:val="22"/>
          <w:lang w:val="lt-LT"/>
        </w:rPr>
        <w:t>). Pranešdami apie šalutinį poveikį galite mums padėti gauti daugiau informacijos apie šio vaisto saugumą.</w:t>
      </w:r>
    </w:p>
    <w:p w:rsidR="00111F16" w:rsidRPr="0090237F" w:rsidRDefault="00111F16" w:rsidP="00111F16">
      <w:pPr>
        <w:pStyle w:val="Pagrindinistekstas"/>
        <w:widowControl w:val="0"/>
        <w:rPr>
          <w:i/>
          <w:szCs w:val="22"/>
          <w:lang w:val="lt-LT"/>
        </w:rPr>
      </w:pPr>
    </w:p>
    <w:p w:rsidR="00111F16" w:rsidRPr="0090237F" w:rsidRDefault="00111F16" w:rsidP="00111F16">
      <w:pPr>
        <w:pStyle w:val="Pagrindinistekstas"/>
        <w:widowControl w:val="0"/>
        <w:rPr>
          <w:i/>
          <w:szCs w:val="22"/>
          <w:lang w:val="lt-LT"/>
        </w:rPr>
      </w:pPr>
    </w:p>
    <w:p w:rsidR="00111F16" w:rsidRPr="0090237F" w:rsidRDefault="00111F16" w:rsidP="00111F16">
      <w:pPr>
        <w:pStyle w:val="Pagrindinistekstas"/>
        <w:widowControl w:val="0"/>
        <w:ind w:left="540" w:hanging="540"/>
        <w:outlineLvl w:val="0"/>
        <w:rPr>
          <w:b/>
          <w:szCs w:val="22"/>
          <w:lang w:val="lt-LT"/>
        </w:rPr>
      </w:pPr>
      <w:r w:rsidRPr="0090237F">
        <w:rPr>
          <w:b/>
          <w:szCs w:val="22"/>
          <w:lang w:val="lt-LT"/>
        </w:rPr>
        <w:t>5.</w:t>
      </w:r>
      <w:r w:rsidRPr="0090237F">
        <w:rPr>
          <w:b/>
          <w:szCs w:val="22"/>
          <w:lang w:val="lt-LT"/>
        </w:rPr>
        <w:tab/>
        <w:t xml:space="preserve">Kaip laikyti </w:t>
      </w:r>
      <w:proofErr w:type="spellStart"/>
      <w:r w:rsidRPr="0090237F">
        <w:rPr>
          <w:b/>
          <w:szCs w:val="22"/>
          <w:lang w:val="lt-LT"/>
        </w:rPr>
        <w:t>Virolex</w:t>
      </w:r>
      <w:proofErr w:type="spellEnd"/>
    </w:p>
    <w:p w:rsidR="00111F16" w:rsidRPr="0090237F" w:rsidRDefault="00111F16" w:rsidP="00111F16">
      <w:pPr>
        <w:pStyle w:val="Pagrindinistekstas"/>
        <w:widowControl w:val="0"/>
        <w:rPr>
          <w:b/>
          <w:szCs w:val="22"/>
          <w:lang w:val="lt-LT"/>
        </w:rPr>
      </w:pPr>
    </w:p>
    <w:p w:rsidR="00111F16" w:rsidRPr="0090237F" w:rsidRDefault="00111F16" w:rsidP="00111F16">
      <w:pPr>
        <w:pStyle w:val="Pagrindinistekstas"/>
        <w:widowControl w:val="0"/>
        <w:rPr>
          <w:szCs w:val="22"/>
          <w:lang w:val="lt-LT"/>
        </w:rPr>
      </w:pPr>
      <w:r w:rsidRPr="0090237F">
        <w:rPr>
          <w:szCs w:val="22"/>
          <w:lang w:val="lt-LT"/>
        </w:rPr>
        <w:t>Ši vaistą laikykite vaikams nepastebimoje ir nepasiekiamoje vietoje.</w:t>
      </w:r>
    </w:p>
    <w:p w:rsidR="00111F16" w:rsidRPr="0090237F" w:rsidRDefault="00111F16" w:rsidP="00111F16">
      <w:pPr>
        <w:pStyle w:val="Pagrindinistekstas"/>
        <w:widowControl w:val="0"/>
        <w:outlineLvl w:val="0"/>
        <w:rPr>
          <w:szCs w:val="22"/>
          <w:lang w:val="lt-LT"/>
        </w:rPr>
      </w:pPr>
    </w:p>
    <w:p w:rsidR="00111F16" w:rsidRPr="0090237F" w:rsidRDefault="00111F16" w:rsidP="00111F16">
      <w:pPr>
        <w:pStyle w:val="Pagrindinistekstas"/>
        <w:widowControl w:val="0"/>
        <w:outlineLvl w:val="0"/>
        <w:rPr>
          <w:szCs w:val="22"/>
          <w:lang w:val="lt-LT"/>
        </w:rPr>
      </w:pPr>
      <w:r w:rsidRPr="0090237F">
        <w:rPr>
          <w:szCs w:val="22"/>
          <w:lang w:val="lt-LT"/>
        </w:rPr>
        <w:t>Ant dėžutės ir buteliuko po „</w:t>
      </w:r>
      <w:r w:rsidRPr="00332F05">
        <w:rPr>
          <w:highlight w:val="lightGray"/>
          <w:lang w:val="lt-LT"/>
        </w:rPr>
        <w:t>Tinka iki</w:t>
      </w:r>
      <w:r w:rsidRPr="0090237F">
        <w:rPr>
          <w:szCs w:val="22"/>
          <w:lang w:val="lt-LT"/>
        </w:rPr>
        <w:t>/ EXP“ nurodytam tinkamumo laikui pasibaigus, šio vaisto vartoti negalima. Vaistas tinka vartoti iki paskutinės nurodyto mėnesio dienos.</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Laikyti ne aukštesnėje kaip 25 </w:t>
      </w:r>
      <w:r w:rsidRPr="0090237F">
        <w:rPr>
          <w:szCs w:val="22"/>
          <w:lang w:val="lt-LT"/>
        </w:rPr>
        <w:sym w:font="Symbol" w:char="00B0"/>
      </w:r>
      <w:r w:rsidRPr="0090237F">
        <w:rPr>
          <w:szCs w:val="22"/>
          <w:lang w:val="lt-LT"/>
        </w:rPr>
        <w:t>C temperatūroje.</w:t>
      </w:r>
    </w:p>
    <w:p w:rsidR="00111F16" w:rsidRPr="0090237F" w:rsidRDefault="00111F16" w:rsidP="00111F16">
      <w:pPr>
        <w:pStyle w:val="Pagrindinistekstas"/>
        <w:widowControl w:val="0"/>
        <w:rPr>
          <w:szCs w:val="22"/>
          <w:lang w:val="lt-LT"/>
        </w:rPr>
      </w:pPr>
      <w:r w:rsidRPr="0090237F">
        <w:rPr>
          <w:szCs w:val="22"/>
          <w:lang w:val="lt-LT"/>
        </w:rPr>
        <w:t>Vartojimui paruošto infuzinio tirpalo tinkamumo laikas yra 12 val., jei jis yra laikomas ne aukštesnėje kaip 25 </w:t>
      </w:r>
      <w:r w:rsidRPr="0090237F">
        <w:rPr>
          <w:szCs w:val="22"/>
          <w:lang w:val="lt-LT"/>
        </w:rPr>
        <w:sym w:font="Symbol" w:char="00B0"/>
      </w:r>
      <w:r w:rsidRPr="0090237F">
        <w:rPr>
          <w:szCs w:val="22"/>
          <w:lang w:val="lt-LT"/>
        </w:rPr>
        <w:t>C temperatūroje.</w:t>
      </w:r>
    </w:p>
    <w:p w:rsidR="00111F16" w:rsidRPr="0090237F" w:rsidRDefault="00111F16" w:rsidP="00111F16">
      <w:pPr>
        <w:pStyle w:val="Pagrindinistekstas"/>
        <w:widowControl w:val="0"/>
        <w:rPr>
          <w:szCs w:val="22"/>
          <w:lang w:val="lt-LT"/>
        </w:rPr>
      </w:pPr>
      <w:r w:rsidRPr="0090237F">
        <w:rPr>
          <w:szCs w:val="22"/>
          <w:lang w:val="lt-LT"/>
        </w:rPr>
        <w:t>Negalima šaldyti ar užšaldyti.</w:t>
      </w:r>
    </w:p>
    <w:p w:rsidR="00111F16" w:rsidRPr="0090237F" w:rsidRDefault="00111F16" w:rsidP="00111F16">
      <w:pPr>
        <w:pStyle w:val="Pagrindinistekstas"/>
        <w:widowControl w:val="0"/>
        <w:outlineLvl w:val="0"/>
        <w:rPr>
          <w:szCs w:val="22"/>
          <w:lang w:val="lt-LT"/>
        </w:rPr>
      </w:pPr>
    </w:p>
    <w:p w:rsidR="00111F16" w:rsidRPr="0090237F" w:rsidRDefault="00111F16" w:rsidP="00111F16">
      <w:pPr>
        <w:pStyle w:val="BTEMEASMCA"/>
        <w:widowControl w:val="0"/>
        <w:rPr>
          <w:noProof w:val="0"/>
        </w:rPr>
      </w:pPr>
      <w:r w:rsidRPr="0090237F">
        <w:rPr>
          <w:noProof w:val="0"/>
        </w:rPr>
        <w:t>Vaistų negalima išmesti į kanalizaciją arba su buitinėmis atliekomis. Kaip išmesti nereikalingus vaistus, klauskite vaistininko. Šios priemonės padės apsaugoti aplinką.</w:t>
      </w:r>
    </w:p>
    <w:p w:rsidR="00111F16" w:rsidRPr="0090237F" w:rsidRDefault="00111F16" w:rsidP="00111F16">
      <w:pPr>
        <w:pStyle w:val="BTEMEASMCA"/>
        <w:widowControl w:val="0"/>
        <w:rPr>
          <w:noProof w:val="0"/>
        </w:rPr>
      </w:pPr>
    </w:p>
    <w:p w:rsidR="00111F16" w:rsidRPr="0090237F" w:rsidRDefault="00111F16" w:rsidP="00111F16">
      <w:pPr>
        <w:pStyle w:val="BTEMEASMCA"/>
        <w:widowControl w:val="0"/>
        <w:rPr>
          <w:noProof w:val="0"/>
        </w:rPr>
      </w:pPr>
    </w:p>
    <w:p w:rsidR="00111F16" w:rsidRPr="0090237F" w:rsidRDefault="00111F16" w:rsidP="00111F16">
      <w:pPr>
        <w:pStyle w:val="BTEMEASMCA"/>
        <w:widowControl w:val="0"/>
        <w:ind w:left="540" w:hanging="540"/>
        <w:rPr>
          <w:b/>
          <w:noProof w:val="0"/>
        </w:rPr>
      </w:pPr>
      <w:r w:rsidRPr="0090237F">
        <w:rPr>
          <w:b/>
          <w:noProof w:val="0"/>
        </w:rPr>
        <w:t>6.</w:t>
      </w:r>
      <w:r w:rsidRPr="0090237F">
        <w:rPr>
          <w:b/>
          <w:noProof w:val="0"/>
        </w:rPr>
        <w:tab/>
        <w:t>Pakuotės turinys ir kita informacija</w:t>
      </w:r>
    </w:p>
    <w:p w:rsidR="00111F16" w:rsidRPr="0090237F" w:rsidRDefault="00111F16" w:rsidP="00111F16">
      <w:pPr>
        <w:pStyle w:val="Pagrindinistekstas"/>
        <w:widowControl w:val="0"/>
        <w:rPr>
          <w:szCs w:val="22"/>
          <w:lang w:val="lt-LT"/>
        </w:rPr>
      </w:pPr>
    </w:p>
    <w:p w:rsidR="00111F16" w:rsidRPr="0090237F" w:rsidRDefault="00111F16" w:rsidP="00111F16">
      <w:pPr>
        <w:pStyle w:val="PI-3EMEASMCA"/>
        <w:widowControl w:val="0"/>
        <w:spacing w:line="240" w:lineRule="auto"/>
      </w:pPr>
      <w:proofErr w:type="spellStart"/>
      <w:r w:rsidRPr="0090237F">
        <w:t>Virolex</w:t>
      </w:r>
      <w:proofErr w:type="spellEnd"/>
      <w:r w:rsidRPr="0090237F">
        <w:t xml:space="preserve"> sudėtis</w:t>
      </w:r>
    </w:p>
    <w:p w:rsidR="00111F16" w:rsidRPr="0090237F" w:rsidRDefault="00111F16" w:rsidP="00111F16">
      <w:pPr>
        <w:pStyle w:val="BT-EMEASMCA"/>
        <w:widowControl w:val="0"/>
        <w:tabs>
          <w:tab w:val="clear" w:pos="720"/>
        </w:tabs>
        <w:ind w:left="567" w:hanging="567"/>
        <w:rPr>
          <w:noProof w:val="0"/>
        </w:rPr>
      </w:pPr>
      <w:r w:rsidRPr="0090237F">
        <w:rPr>
          <w:noProof w:val="0"/>
        </w:rPr>
        <w:t xml:space="preserve">Veiklioji medžiaga yra </w:t>
      </w:r>
      <w:proofErr w:type="spellStart"/>
      <w:r w:rsidRPr="0090237F">
        <w:rPr>
          <w:noProof w:val="0"/>
        </w:rPr>
        <w:t>acikloviras</w:t>
      </w:r>
      <w:proofErr w:type="spellEnd"/>
      <w:r w:rsidRPr="0090237F">
        <w:rPr>
          <w:noProof w:val="0"/>
        </w:rPr>
        <w:t xml:space="preserve">. Kiekviename buteliuke yra 250 mg </w:t>
      </w:r>
      <w:proofErr w:type="spellStart"/>
      <w:r w:rsidRPr="0090237F">
        <w:rPr>
          <w:noProof w:val="0"/>
        </w:rPr>
        <w:t>acikloviro</w:t>
      </w:r>
      <w:proofErr w:type="spellEnd"/>
      <w:r w:rsidRPr="0090237F">
        <w:rPr>
          <w:noProof w:val="0"/>
        </w:rPr>
        <w:t xml:space="preserve"> (274,38 mg </w:t>
      </w:r>
      <w:proofErr w:type="spellStart"/>
      <w:r w:rsidRPr="0090237F">
        <w:rPr>
          <w:noProof w:val="0"/>
        </w:rPr>
        <w:t>acikloviro</w:t>
      </w:r>
      <w:proofErr w:type="spellEnd"/>
      <w:r w:rsidRPr="0090237F">
        <w:rPr>
          <w:noProof w:val="0"/>
        </w:rPr>
        <w:t xml:space="preserve"> natrio druskos pavidalo).</w:t>
      </w:r>
      <w:r>
        <w:rPr>
          <w:noProof w:val="0"/>
        </w:rPr>
        <w:t xml:space="preserve"> Žr. 2 skyrių „</w:t>
      </w:r>
      <w:proofErr w:type="spellStart"/>
      <w:r>
        <w:rPr>
          <w:noProof w:val="0"/>
        </w:rPr>
        <w:t>Virolex</w:t>
      </w:r>
      <w:proofErr w:type="spellEnd"/>
      <w:r>
        <w:rPr>
          <w:noProof w:val="0"/>
        </w:rPr>
        <w:t xml:space="preserve"> sudėtyje yra natrio“.</w:t>
      </w:r>
    </w:p>
    <w:p w:rsidR="00111F16" w:rsidRPr="0090237F" w:rsidRDefault="00111F16" w:rsidP="00111F16">
      <w:pPr>
        <w:pStyle w:val="BTEMEASMCA"/>
        <w:widowControl w:val="0"/>
        <w:rPr>
          <w:noProof w:val="0"/>
        </w:rPr>
      </w:pPr>
    </w:p>
    <w:p w:rsidR="00111F16" w:rsidRPr="0090237F" w:rsidRDefault="00111F16" w:rsidP="00111F16">
      <w:pPr>
        <w:pStyle w:val="PI-3EMEASMCA"/>
        <w:widowControl w:val="0"/>
        <w:spacing w:line="240" w:lineRule="auto"/>
      </w:pPr>
      <w:proofErr w:type="spellStart"/>
      <w:r w:rsidRPr="0090237F">
        <w:t>Virolex</w:t>
      </w:r>
      <w:proofErr w:type="spellEnd"/>
      <w:r w:rsidRPr="0090237F">
        <w:t xml:space="preserve"> išvaizda ir kiekis pakuotėje</w:t>
      </w:r>
    </w:p>
    <w:p w:rsidR="00111F16" w:rsidRPr="0090237F" w:rsidRDefault="00111F16" w:rsidP="00111F16">
      <w:pPr>
        <w:pStyle w:val="Pagrindinistekstas"/>
        <w:widowControl w:val="0"/>
        <w:rPr>
          <w:szCs w:val="22"/>
          <w:lang w:val="lt-LT"/>
        </w:rPr>
      </w:pPr>
      <w:r w:rsidRPr="0090237F">
        <w:rPr>
          <w:szCs w:val="22"/>
          <w:lang w:val="lt-LT"/>
        </w:rPr>
        <w:t>Milteliai infuziniam tirpalui yra balti arba beveik balti.</w:t>
      </w:r>
    </w:p>
    <w:p w:rsidR="00111F16" w:rsidRPr="0090237F" w:rsidRDefault="00111F16" w:rsidP="00111F16">
      <w:pPr>
        <w:pStyle w:val="BTEMEASMCA"/>
        <w:widowControl w:val="0"/>
        <w:rPr>
          <w:noProof w:val="0"/>
        </w:rPr>
      </w:pPr>
    </w:p>
    <w:p w:rsidR="00111F16" w:rsidRPr="0090237F" w:rsidRDefault="00111F16" w:rsidP="00111F16">
      <w:pPr>
        <w:pStyle w:val="Pagrindinistekstas"/>
        <w:widowControl w:val="0"/>
        <w:rPr>
          <w:szCs w:val="22"/>
          <w:lang w:val="lt-LT"/>
        </w:rPr>
      </w:pPr>
      <w:r>
        <w:rPr>
          <w:szCs w:val="22"/>
          <w:lang w:val="lt-LT"/>
        </w:rPr>
        <w:t>Buteliukas</w:t>
      </w:r>
      <w:r w:rsidRPr="003E114E">
        <w:rPr>
          <w:szCs w:val="22"/>
          <w:lang w:val="lt-LT"/>
        </w:rPr>
        <w:t xml:space="preserve"> su gumini</w:t>
      </w:r>
      <w:r>
        <w:rPr>
          <w:szCs w:val="22"/>
          <w:lang w:val="lt-LT"/>
        </w:rPr>
        <w:t>u kamšteliu ir aliuminio dangteliu</w:t>
      </w:r>
      <w:r w:rsidRPr="003E114E">
        <w:rPr>
          <w:szCs w:val="22"/>
          <w:lang w:val="lt-LT"/>
        </w:rPr>
        <w:t>.</w:t>
      </w:r>
      <w:r>
        <w:rPr>
          <w:szCs w:val="22"/>
          <w:lang w:val="lt-LT"/>
        </w:rPr>
        <w:t xml:space="preserve"> </w:t>
      </w:r>
      <w:proofErr w:type="spellStart"/>
      <w:r w:rsidRPr="0090237F">
        <w:rPr>
          <w:szCs w:val="22"/>
          <w:lang w:val="lt-LT"/>
        </w:rPr>
        <w:t>Virolex</w:t>
      </w:r>
      <w:proofErr w:type="spellEnd"/>
      <w:r w:rsidRPr="0090237F">
        <w:rPr>
          <w:szCs w:val="22"/>
          <w:lang w:val="lt-LT"/>
        </w:rPr>
        <w:t xml:space="preserve"> tiekiamas dėžutėmis, kuriose yra 5 buteliukai po </w:t>
      </w:r>
      <w:r>
        <w:rPr>
          <w:szCs w:val="22"/>
          <w:lang w:val="lt-LT"/>
        </w:rPr>
        <w:t>250</w:t>
      </w:r>
      <w:r w:rsidRPr="0090237F">
        <w:rPr>
          <w:szCs w:val="22"/>
          <w:lang w:val="lt-LT"/>
        </w:rPr>
        <w:t> mg miltelių infuziniam tirpalui.</w:t>
      </w:r>
    </w:p>
    <w:p w:rsidR="00111F16" w:rsidRPr="0090237F" w:rsidRDefault="00111F16" w:rsidP="00111F16">
      <w:pPr>
        <w:pStyle w:val="Pagrindinistekstas"/>
        <w:widowControl w:val="0"/>
        <w:rPr>
          <w:szCs w:val="22"/>
          <w:lang w:val="lt-LT"/>
        </w:rPr>
      </w:pPr>
    </w:p>
    <w:p w:rsidR="00111F16" w:rsidRPr="0090237F" w:rsidRDefault="00111F16" w:rsidP="00111F16">
      <w:pPr>
        <w:pStyle w:val="PI-3EMEASMCA"/>
        <w:widowControl w:val="0"/>
        <w:spacing w:line="240" w:lineRule="auto"/>
      </w:pPr>
      <w:r w:rsidRPr="00807559">
        <w:t>Registruotojas</w:t>
      </w:r>
      <w:r w:rsidRPr="0090237F">
        <w:t xml:space="preserve"> ir gamintojas</w:t>
      </w:r>
    </w:p>
    <w:p w:rsidR="00111F16" w:rsidRPr="0090237F" w:rsidRDefault="00111F16" w:rsidP="00111F16">
      <w:pPr>
        <w:pStyle w:val="Pagrindinistekstas"/>
        <w:widowControl w:val="0"/>
        <w:rPr>
          <w:szCs w:val="22"/>
          <w:lang w:val="lt-LT"/>
        </w:rPr>
      </w:pPr>
      <w:r w:rsidRPr="0090237F">
        <w:rPr>
          <w:szCs w:val="22"/>
          <w:lang w:val="lt-LT"/>
        </w:rPr>
        <w:t>K</w:t>
      </w:r>
      <w:r>
        <w:rPr>
          <w:szCs w:val="22"/>
          <w:lang w:val="lt-LT"/>
        </w:rPr>
        <w:t>RKA</w:t>
      </w:r>
      <w:r w:rsidRPr="0090237F">
        <w:rPr>
          <w:szCs w:val="22"/>
          <w:lang w:val="lt-LT"/>
        </w:rPr>
        <w:t xml:space="preserve">, </w:t>
      </w:r>
      <w:proofErr w:type="spellStart"/>
      <w:r w:rsidRPr="0090237F">
        <w:rPr>
          <w:szCs w:val="22"/>
          <w:lang w:val="lt-LT"/>
        </w:rPr>
        <w:t>d.d</w:t>
      </w:r>
      <w:proofErr w:type="spellEnd"/>
      <w:r w:rsidRPr="0090237F">
        <w:rPr>
          <w:szCs w:val="22"/>
          <w:lang w:val="lt-LT"/>
        </w:rPr>
        <w:t>., Novo mesto</w:t>
      </w:r>
    </w:p>
    <w:p w:rsidR="00111F16" w:rsidRPr="0090237F" w:rsidRDefault="00111F16" w:rsidP="00111F16">
      <w:pPr>
        <w:pStyle w:val="Pagrindinistekstas"/>
        <w:widowControl w:val="0"/>
        <w:rPr>
          <w:szCs w:val="22"/>
          <w:lang w:val="lt-LT"/>
        </w:rPr>
      </w:pPr>
      <w:proofErr w:type="spellStart"/>
      <w:r w:rsidRPr="0090237F">
        <w:rPr>
          <w:szCs w:val="22"/>
          <w:lang w:val="lt-LT"/>
        </w:rPr>
        <w:t>Šmarješka</w:t>
      </w:r>
      <w:proofErr w:type="spellEnd"/>
      <w:r w:rsidRPr="0090237F">
        <w:rPr>
          <w:szCs w:val="22"/>
          <w:lang w:val="lt-LT"/>
        </w:rPr>
        <w:t xml:space="preserve"> </w:t>
      </w:r>
      <w:proofErr w:type="spellStart"/>
      <w:r w:rsidRPr="0090237F">
        <w:rPr>
          <w:szCs w:val="22"/>
          <w:lang w:val="lt-LT"/>
        </w:rPr>
        <w:t>cesta</w:t>
      </w:r>
      <w:proofErr w:type="spellEnd"/>
      <w:r w:rsidRPr="0090237F">
        <w:rPr>
          <w:szCs w:val="22"/>
          <w:lang w:val="lt-LT"/>
        </w:rPr>
        <w:t xml:space="preserve"> 6</w:t>
      </w:r>
    </w:p>
    <w:p w:rsidR="00111F16" w:rsidRPr="0090237F" w:rsidRDefault="00111F16" w:rsidP="00111F16">
      <w:pPr>
        <w:pStyle w:val="Pagrindinistekstas"/>
        <w:widowControl w:val="0"/>
        <w:rPr>
          <w:szCs w:val="22"/>
          <w:lang w:val="lt-LT"/>
        </w:rPr>
      </w:pPr>
      <w:r w:rsidRPr="0090237F">
        <w:rPr>
          <w:szCs w:val="22"/>
          <w:lang w:val="lt-LT"/>
        </w:rPr>
        <w:t>8501 Novo mesto</w:t>
      </w:r>
    </w:p>
    <w:p w:rsidR="00111F16" w:rsidRPr="0090237F" w:rsidRDefault="00111F16" w:rsidP="00111F16">
      <w:pPr>
        <w:pStyle w:val="Pagrindinistekstas"/>
        <w:widowControl w:val="0"/>
        <w:rPr>
          <w:szCs w:val="22"/>
          <w:lang w:val="lt-LT"/>
        </w:rPr>
      </w:pPr>
      <w:r w:rsidRPr="0090237F">
        <w:rPr>
          <w:szCs w:val="22"/>
          <w:lang w:val="lt-LT"/>
        </w:rPr>
        <w:t>Slovėnija</w:t>
      </w:r>
    </w:p>
    <w:p w:rsidR="00111F16" w:rsidRPr="0090237F" w:rsidRDefault="00111F16" w:rsidP="00111F16">
      <w:pPr>
        <w:pStyle w:val="Pagrindinistekstas"/>
        <w:widowControl w:val="0"/>
        <w:rPr>
          <w:szCs w:val="22"/>
          <w:lang w:val="lt-LT"/>
        </w:rPr>
      </w:pPr>
    </w:p>
    <w:p w:rsidR="00111F16" w:rsidRPr="0090237F" w:rsidRDefault="00111F16" w:rsidP="00111F16">
      <w:pPr>
        <w:pStyle w:val="BTEMEASMCA"/>
        <w:widowControl w:val="0"/>
        <w:rPr>
          <w:noProof w:val="0"/>
        </w:rPr>
      </w:pPr>
      <w:r w:rsidRPr="0090237F">
        <w:rPr>
          <w:noProof w:val="0"/>
        </w:rPr>
        <w:t xml:space="preserve">Jeigu apie šį vaistą norite sužinoti daugiau, kreipkitės į vietinį </w:t>
      </w:r>
      <w:r w:rsidRPr="00807559">
        <w:rPr>
          <w:noProof w:val="0"/>
        </w:rPr>
        <w:t>registruotojo</w:t>
      </w:r>
      <w:r w:rsidRPr="0090237F">
        <w:rPr>
          <w:noProof w:val="0"/>
        </w:rPr>
        <w:t xml:space="preserve"> atstovą.</w:t>
      </w:r>
    </w:p>
    <w:p w:rsidR="00111F16" w:rsidRPr="0090237F" w:rsidRDefault="00111F16" w:rsidP="00111F16">
      <w:pPr>
        <w:widowControl w:val="0"/>
        <w:rPr>
          <w:sz w:val="22"/>
          <w:szCs w:val="22"/>
        </w:rPr>
      </w:pPr>
    </w:p>
    <w:tbl>
      <w:tblPr>
        <w:tblW w:w="4680" w:type="dxa"/>
        <w:tblInd w:w="-34" w:type="dxa"/>
        <w:tblLayout w:type="fixed"/>
        <w:tblLook w:val="04A0" w:firstRow="1" w:lastRow="0" w:firstColumn="1" w:lastColumn="0" w:noHBand="0" w:noVBand="1"/>
      </w:tblPr>
      <w:tblGrid>
        <w:gridCol w:w="4680"/>
      </w:tblGrid>
      <w:tr w:rsidR="00111F16" w:rsidRPr="0090237F" w:rsidTr="00F16D93">
        <w:tc>
          <w:tcPr>
            <w:tcW w:w="4678" w:type="dxa"/>
          </w:tcPr>
          <w:p w:rsidR="00111F16" w:rsidRPr="0090237F" w:rsidRDefault="00111F16" w:rsidP="00F16D93">
            <w:pPr>
              <w:widowControl w:val="0"/>
              <w:rPr>
                <w:sz w:val="22"/>
                <w:szCs w:val="22"/>
              </w:rPr>
            </w:pPr>
            <w:r w:rsidRPr="0090237F">
              <w:rPr>
                <w:sz w:val="22"/>
                <w:szCs w:val="22"/>
              </w:rPr>
              <w:t>KRKA, d.d. atstovybė Lietuvoje</w:t>
            </w:r>
          </w:p>
          <w:p w:rsidR="00111F16" w:rsidRPr="0090237F" w:rsidRDefault="00111F16" w:rsidP="00F16D93">
            <w:pPr>
              <w:widowControl w:val="0"/>
              <w:rPr>
                <w:sz w:val="22"/>
                <w:szCs w:val="22"/>
              </w:rPr>
            </w:pPr>
            <w:r w:rsidRPr="0090237F">
              <w:rPr>
                <w:sz w:val="22"/>
                <w:szCs w:val="22"/>
              </w:rPr>
              <w:t>Senasis Ukmergės kelias 4,</w:t>
            </w:r>
          </w:p>
          <w:p w:rsidR="00111F16" w:rsidRPr="0090237F" w:rsidRDefault="00111F16" w:rsidP="00F16D93">
            <w:pPr>
              <w:widowControl w:val="0"/>
              <w:rPr>
                <w:sz w:val="22"/>
                <w:szCs w:val="22"/>
              </w:rPr>
            </w:pPr>
            <w:r w:rsidRPr="0090237F">
              <w:rPr>
                <w:sz w:val="22"/>
                <w:szCs w:val="22"/>
              </w:rPr>
              <w:t>Vilniaus raj., Užubalių k.</w:t>
            </w:r>
          </w:p>
          <w:p w:rsidR="00111F16" w:rsidRPr="0090237F" w:rsidRDefault="00111F16" w:rsidP="00F16D93">
            <w:pPr>
              <w:widowControl w:val="0"/>
              <w:rPr>
                <w:sz w:val="22"/>
                <w:szCs w:val="22"/>
              </w:rPr>
            </w:pPr>
            <w:r w:rsidRPr="0090237F">
              <w:rPr>
                <w:sz w:val="22"/>
                <w:szCs w:val="22"/>
              </w:rPr>
              <w:t>LT - 14013</w:t>
            </w:r>
          </w:p>
          <w:p w:rsidR="00111F16" w:rsidRPr="0090237F" w:rsidRDefault="00111F16" w:rsidP="00F16D93">
            <w:pPr>
              <w:widowControl w:val="0"/>
              <w:rPr>
                <w:sz w:val="22"/>
                <w:szCs w:val="22"/>
              </w:rPr>
            </w:pPr>
            <w:r w:rsidRPr="0090237F">
              <w:rPr>
                <w:sz w:val="22"/>
                <w:szCs w:val="22"/>
              </w:rPr>
              <w:t>Tel. + 370 5 236 27 40</w:t>
            </w:r>
          </w:p>
        </w:tc>
      </w:tr>
    </w:tbl>
    <w:p w:rsidR="00111F16" w:rsidRPr="0090237F" w:rsidRDefault="00111F16" w:rsidP="00111F16">
      <w:pPr>
        <w:pStyle w:val="Pagrindinistekstas"/>
        <w:widowControl w:val="0"/>
        <w:rPr>
          <w:b/>
          <w:szCs w:val="22"/>
          <w:lang w:val="lt-LT"/>
        </w:rPr>
      </w:pPr>
    </w:p>
    <w:p w:rsidR="00111F16" w:rsidRPr="0090237F" w:rsidRDefault="00111F16" w:rsidP="00111F16">
      <w:pPr>
        <w:pStyle w:val="Pagrindinistekstas"/>
        <w:widowControl w:val="0"/>
        <w:rPr>
          <w:b/>
          <w:szCs w:val="22"/>
          <w:lang w:val="lt-LT"/>
        </w:rPr>
      </w:pPr>
    </w:p>
    <w:p w:rsidR="00111F16" w:rsidRPr="0090237F" w:rsidRDefault="00111F16" w:rsidP="00111F16">
      <w:pPr>
        <w:pStyle w:val="BTbEMEASMCA"/>
        <w:widowControl w:val="0"/>
        <w:rPr>
          <w:noProof w:val="0"/>
        </w:rPr>
      </w:pPr>
      <w:r w:rsidRPr="0090237F">
        <w:rPr>
          <w:bCs/>
          <w:noProof w:val="0"/>
        </w:rPr>
        <w:t>Šis pakuotės lapelis</w:t>
      </w:r>
      <w:r w:rsidRPr="0090237F">
        <w:rPr>
          <w:noProof w:val="0"/>
        </w:rPr>
        <w:t xml:space="preserve"> paskutinį kartą peržiūrėtas</w:t>
      </w:r>
      <w:r>
        <w:rPr>
          <w:noProof w:val="0"/>
        </w:rPr>
        <w:t xml:space="preserve"> 2021-05-14.</w:t>
      </w:r>
    </w:p>
    <w:p w:rsidR="00111F16" w:rsidRPr="0090237F" w:rsidRDefault="00111F16" w:rsidP="00111F16">
      <w:pPr>
        <w:widowControl w:val="0"/>
        <w:rPr>
          <w:sz w:val="22"/>
          <w:szCs w:val="22"/>
        </w:rPr>
      </w:pPr>
    </w:p>
    <w:p w:rsidR="00111F16" w:rsidRPr="0090237F" w:rsidRDefault="00111F16" w:rsidP="00111F16">
      <w:pPr>
        <w:widowControl w:val="0"/>
        <w:rPr>
          <w:sz w:val="22"/>
          <w:szCs w:val="22"/>
        </w:rPr>
      </w:pPr>
    </w:p>
    <w:p w:rsidR="00111F16" w:rsidRPr="0090237F" w:rsidRDefault="00111F16" w:rsidP="00111F16">
      <w:pPr>
        <w:pStyle w:val="BTEMEASMCA"/>
        <w:widowControl w:val="0"/>
        <w:rPr>
          <w:noProof w:val="0"/>
        </w:rPr>
      </w:pPr>
      <w:r w:rsidRPr="00807559">
        <w:rPr>
          <w:noProof w:val="0"/>
        </w:rPr>
        <w:t>Išsami informacija apie šį vaistą</w:t>
      </w:r>
      <w:r w:rsidRPr="0090237F">
        <w:rPr>
          <w:noProof w:val="0"/>
        </w:rPr>
        <w:t xml:space="preserve"> pateikiama Valstybinės vaistų kontrolės tarnybos prie Lietuvos Respublikos sveikatos apsaugos ministerijos interneto svetainėje </w:t>
      </w:r>
      <w:hyperlink r:id="rId8" w:history="1">
        <w:r w:rsidRPr="00332F05">
          <w:rPr>
            <w:rStyle w:val="Hipersaitas"/>
            <w:lang w:val="sl-SI"/>
          </w:rPr>
          <w:t>http://www.vvkt.lt/</w:t>
        </w:r>
      </w:hyperlink>
    </w:p>
    <w:p w:rsidR="00111F16" w:rsidRPr="0090237F" w:rsidRDefault="00111F16" w:rsidP="00111F16">
      <w:pPr>
        <w:widowControl w:val="0"/>
        <w:rPr>
          <w:sz w:val="22"/>
          <w:szCs w:val="22"/>
          <w:highlight w:val="yellow"/>
        </w:rPr>
      </w:pPr>
    </w:p>
    <w:p w:rsidR="00111F16" w:rsidRPr="0090237F" w:rsidRDefault="00111F16" w:rsidP="00111F16">
      <w:pPr>
        <w:widowControl w:val="0"/>
        <w:rPr>
          <w:sz w:val="22"/>
          <w:szCs w:val="22"/>
        </w:rPr>
      </w:pPr>
      <w:r w:rsidRPr="0090237F">
        <w:rPr>
          <w:sz w:val="22"/>
          <w:szCs w:val="22"/>
        </w:rPr>
        <w:t>--------------------------------------------------------------------------------------------------------------------------</w:t>
      </w:r>
    </w:p>
    <w:p w:rsidR="00111F16" w:rsidRPr="0090237F" w:rsidRDefault="00111F16" w:rsidP="00111F16">
      <w:pPr>
        <w:pStyle w:val="BTEMEASMCA"/>
        <w:widowControl w:val="0"/>
        <w:rPr>
          <w:noProof w:val="0"/>
        </w:rPr>
      </w:pPr>
      <w:r w:rsidRPr="0090237F">
        <w:rPr>
          <w:noProof w:val="0"/>
        </w:rPr>
        <w:t>Žemiau pateikta informacija skirta tik sveikatos priežiūros specialistams:</w:t>
      </w:r>
    </w:p>
    <w:p w:rsidR="00111F16" w:rsidRPr="0090237F" w:rsidRDefault="00111F16" w:rsidP="00111F16">
      <w:pPr>
        <w:pStyle w:val="Pagrindinistekstas"/>
        <w:widowControl w:val="0"/>
        <w:rPr>
          <w:i/>
          <w:szCs w:val="22"/>
          <w:lang w:val="lt-LT"/>
        </w:rPr>
      </w:pPr>
    </w:p>
    <w:p w:rsidR="00111F16" w:rsidRPr="00332F05" w:rsidRDefault="00111F16" w:rsidP="00111F16">
      <w:pPr>
        <w:pStyle w:val="Antrat2"/>
        <w:keepNext w:val="0"/>
        <w:widowControl w:val="0"/>
        <w:spacing w:line="240" w:lineRule="auto"/>
        <w:rPr>
          <w:sz w:val="22"/>
          <w:u w:val="none"/>
          <w:lang w:val="lt-LT"/>
        </w:rPr>
      </w:pPr>
      <w:r w:rsidRPr="00332F05">
        <w:rPr>
          <w:sz w:val="22"/>
          <w:u w:val="none"/>
          <w:lang w:val="lt-LT"/>
        </w:rPr>
        <w:t>Nesuderinamumas</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Injekcinio vandens, kuriame tirpinami milteliai infuziniam tirpalui, sudėtyje turi nebūti konservantų (</w:t>
      </w:r>
      <w:proofErr w:type="spellStart"/>
      <w:r w:rsidRPr="0090237F">
        <w:rPr>
          <w:szCs w:val="22"/>
          <w:lang w:val="lt-LT"/>
        </w:rPr>
        <w:t>benzilo</w:t>
      </w:r>
      <w:proofErr w:type="spellEnd"/>
      <w:r w:rsidRPr="0090237F">
        <w:rPr>
          <w:szCs w:val="22"/>
          <w:lang w:val="lt-LT"/>
        </w:rPr>
        <w:t xml:space="preserve"> alkoholio, </w:t>
      </w:r>
      <w:proofErr w:type="spellStart"/>
      <w:r w:rsidRPr="0090237F">
        <w:rPr>
          <w:szCs w:val="22"/>
          <w:lang w:val="lt-LT"/>
        </w:rPr>
        <w:t>parahidroksibenzoatų</w:t>
      </w:r>
      <w:proofErr w:type="spellEnd"/>
      <w:r w:rsidRPr="0090237F">
        <w:rPr>
          <w:szCs w:val="22"/>
          <w:lang w:val="lt-LT"/>
        </w:rPr>
        <w:t xml:space="preserve">), kadangi galima </w:t>
      </w:r>
      <w:proofErr w:type="spellStart"/>
      <w:r w:rsidRPr="0090237F">
        <w:rPr>
          <w:szCs w:val="22"/>
          <w:lang w:val="lt-LT"/>
        </w:rPr>
        <w:t>precipitacija</w:t>
      </w:r>
      <w:proofErr w:type="spellEnd"/>
      <w:r w:rsidRPr="0090237F">
        <w:rPr>
          <w:szCs w:val="22"/>
          <w:lang w:val="lt-LT"/>
        </w:rPr>
        <w:t>.</w:t>
      </w:r>
    </w:p>
    <w:p w:rsidR="00111F16" w:rsidRPr="00B4733E" w:rsidRDefault="00111F16" w:rsidP="00111F16">
      <w:pPr>
        <w:pStyle w:val="Antrat2"/>
        <w:keepNext w:val="0"/>
        <w:widowControl w:val="0"/>
        <w:spacing w:line="240" w:lineRule="auto"/>
        <w:rPr>
          <w:b w:val="0"/>
          <w:i/>
          <w:sz w:val="22"/>
          <w:szCs w:val="22"/>
          <w:u w:val="none"/>
          <w:lang w:val="lt-LT"/>
        </w:rPr>
      </w:pPr>
      <w:r w:rsidRPr="00B4733E">
        <w:rPr>
          <w:b w:val="0"/>
          <w:i/>
          <w:sz w:val="22"/>
          <w:szCs w:val="22"/>
          <w:u w:val="none"/>
          <w:lang w:val="lt-LT"/>
        </w:rPr>
        <w:t>Infuzinio ar injekcinio tirpalo ruošimas</w:t>
      </w:r>
    </w:p>
    <w:p w:rsidR="00111F16" w:rsidRPr="0090237F" w:rsidRDefault="00111F16" w:rsidP="00111F16">
      <w:pPr>
        <w:pStyle w:val="Pagrindinistekstas"/>
        <w:widowControl w:val="0"/>
        <w:rPr>
          <w:szCs w:val="22"/>
          <w:lang w:val="lt-LT"/>
        </w:rPr>
      </w:pPr>
      <w:r w:rsidRPr="0090237F">
        <w:rPr>
          <w:szCs w:val="22"/>
          <w:lang w:val="lt-LT"/>
        </w:rPr>
        <w:t>Buteliuko turinys ištirpinamas 10 ml injekcinio vandens arba fiziologinio natrio chlorido tirpalo. Pa</w:t>
      </w:r>
      <w:r w:rsidRPr="0090237F">
        <w:rPr>
          <w:szCs w:val="22"/>
          <w:lang w:val="lt-LT"/>
        </w:rPr>
        <w:softHyphen/>
        <w:t>ruoštą tirpalą galima vartoti infuzine pompa. Infuzijai į veną šį vaistą reikia papildomai atskiesti bent 50 ml infuzinio skysčio (dviejų buteliukų turinys sumaišomas su 100 ml infuzinio skysčio). Jei reikia didesnės kaip 500 mg dozės, papildomai įpilamas atitinkamas infuzinio skysčio kiekis.</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Vaikui, kuriam reikia 100 mg ar mažesnės dozės, buteliuko turinys iš pradžių ištirpinamas 10 ml injek</w:t>
      </w:r>
      <w:r w:rsidRPr="0090237F">
        <w:rPr>
          <w:szCs w:val="22"/>
          <w:lang w:val="lt-LT"/>
        </w:rPr>
        <w:softHyphen/>
        <w:t>cinio vandens arba fiziologinio natrio chlorido tirpalo, paskui reikiama dozė supilama į infuzinį skystį santykiu 1:5 (pvz., 4 ml į 20 ml).</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 xml:space="preserve">Milteliai infuziniam tirpalui tirpinami ir skiedžiami </w:t>
      </w:r>
      <w:proofErr w:type="spellStart"/>
      <w:r w:rsidRPr="0090237F">
        <w:rPr>
          <w:szCs w:val="22"/>
          <w:lang w:val="lt-LT"/>
        </w:rPr>
        <w:t>aseptikos</w:t>
      </w:r>
      <w:proofErr w:type="spellEnd"/>
      <w:r w:rsidRPr="0090237F">
        <w:rPr>
          <w:szCs w:val="22"/>
          <w:lang w:val="lt-LT"/>
        </w:rPr>
        <w:t xml:space="preserve"> sąlygomis prieš pat vartojimą. Buteliuke nėra konservantų, todėl nesuvartotą tirpalą reikia išpilti.</w:t>
      </w:r>
    </w:p>
    <w:p w:rsidR="00111F16" w:rsidRPr="0090237F" w:rsidRDefault="00111F16" w:rsidP="00111F16">
      <w:pPr>
        <w:pStyle w:val="Pagrindinistekstas"/>
        <w:widowControl w:val="0"/>
        <w:rPr>
          <w:szCs w:val="22"/>
          <w:lang w:val="lt-LT"/>
        </w:rPr>
      </w:pPr>
    </w:p>
    <w:p w:rsidR="00111F16" w:rsidRPr="0090237F" w:rsidRDefault="00111F16" w:rsidP="00111F16">
      <w:pPr>
        <w:pStyle w:val="Pagrindinistekstas"/>
        <w:widowControl w:val="0"/>
        <w:rPr>
          <w:szCs w:val="22"/>
          <w:lang w:val="lt-LT"/>
        </w:rPr>
      </w:pPr>
      <w:r w:rsidRPr="0090237F">
        <w:rPr>
          <w:szCs w:val="22"/>
          <w:lang w:val="lt-LT"/>
        </w:rPr>
        <w:t>Tirpalą prieš vartojimą reikia gerai suplakti. Jei tirpalas susidrumstė arba atsirado kristalų, jo vartoti negalima.</w:t>
      </w:r>
    </w:p>
    <w:p w:rsidR="00111F16" w:rsidRPr="0090237F" w:rsidRDefault="00111F16" w:rsidP="00111F16">
      <w:pPr>
        <w:pStyle w:val="Pagrindinistekstas"/>
        <w:widowControl w:val="0"/>
        <w:rPr>
          <w:szCs w:val="22"/>
          <w:lang w:val="lt-LT"/>
        </w:rPr>
      </w:pPr>
    </w:p>
    <w:p w:rsidR="00111F16" w:rsidRDefault="00111F16" w:rsidP="00111F16">
      <w:pPr>
        <w:pStyle w:val="Pagrindinistekstas"/>
        <w:widowControl w:val="0"/>
        <w:tabs>
          <w:tab w:val="clear" w:pos="8505"/>
        </w:tabs>
        <w:rPr>
          <w:szCs w:val="22"/>
          <w:lang w:val="lt-LT"/>
        </w:rPr>
      </w:pPr>
      <w:r w:rsidRPr="0090237F">
        <w:rPr>
          <w:szCs w:val="22"/>
          <w:lang w:val="lt-LT"/>
        </w:rPr>
        <w:t xml:space="preserve">Kaip infuzinį skystį galima vartoti fiziologinį natrio chlorido tirpalą arba </w:t>
      </w:r>
      <w:proofErr w:type="spellStart"/>
      <w:r w:rsidRPr="0090237F">
        <w:rPr>
          <w:szCs w:val="22"/>
          <w:lang w:val="lt-LT"/>
        </w:rPr>
        <w:t>Ringerio</w:t>
      </w:r>
      <w:proofErr w:type="spellEnd"/>
      <w:r w:rsidRPr="0090237F">
        <w:rPr>
          <w:szCs w:val="22"/>
          <w:lang w:val="lt-LT"/>
        </w:rPr>
        <w:t xml:space="preserve"> laktato tirpalą.</w:t>
      </w:r>
    </w:p>
    <w:p w:rsidR="00111F16" w:rsidRDefault="00111F16" w:rsidP="00111F16">
      <w:pPr>
        <w:pStyle w:val="Pagrindinistekstas"/>
        <w:widowControl w:val="0"/>
        <w:tabs>
          <w:tab w:val="clear" w:pos="8505"/>
        </w:tabs>
        <w:rPr>
          <w:szCs w:val="22"/>
          <w:lang w:val="lt-LT"/>
        </w:rPr>
      </w:pPr>
    </w:p>
    <w:p w:rsidR="009041DB" w:rsidRDefault="009041DB">
      <w:bookmarkStart w:id="8" w:name="_GoBack"/>
      <w:bookmarkEnd w:id="8"/>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01DB9"/>
    <w:multiLevelType w:val="hybridMultilevel"/>
    <w:tmpl w:val="0A7C9E7E"/>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16"/>
    <w:rsid w:val="00111F16"/>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E7654-70D7-4F16-AB6B-B025150B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F16"/>
    <w:pPr>
      <w:spacing w:after="0" w:line="240" w:lineRule="auto"/>
    </w:pPr>
    <w:rPr>
      <w:rFonts w:ascii="Times New Roman" w:hAnsi="Times New Roman" w:cs="Times New Roman"/>
      <w:sz w:val="24"/>
      <w:szCs w:val="20"/>
      <w:lang w:val="sl-SI" w:eastAsia="sl-SI"/>
    </w:rPr>
  </w:style>
  <w:style w:type="paragraph" w:styleId="Antrat1">
    <w:name w:val="heading 1"/>
    <w:basedOn w:val="prastasis"/>
    <w:next w:val="prastasis"/>
    <w:link w:val="Antrat1Diagrama"/>
    <w:uiPriority w:val="9"/>
    <w:qFormat/>
    <w:rsid w:val="00111F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111F16"/>
    <w:pPr>
      <w:keepNext/>
      <w:tabs>
        <w:tab w:val="left" w:pos="4300"/>
        <w:tab w:val="left" w:pos="5940"/>
        <w:tab w:val="left" w:pos="8180"/>
      </w:tabs>
      <w:spacing w:line="360" w:lineRule="atLeast"/>
      <w:outlineLvl w:val="1"/>
    </w:pPr>
    <w:rPr>
      <w:b/>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11F16"/>
    <w:rPr>
      <w:rFonts w:ascii="Times New Roman" w:hAnsi="Times New Roman" w:cs="Times New Roman"/>
      <w:b/>
      <w:sz w:val="24"/>
      <w:szCs w:val="20"/>
      <w:u w:val="single"/>
      <w:lang w:val="en-US" w:eastAsia="sl-SI"/>
    </w:rPr>
  </w:style>
  <w:style w:type="character" w:styleId="Hipersaitas">
    <w:name w:val="Hyperlink"/>
    <w:uiPriority w:val="99"/>
    <w:rsid w:val="00111F16"/>
    <w:rPr>
      <w:rFonts w:ascii="Times New Roman" w:hAnsi="Times New Roman"/>
      <w:color w:val="auto"/>
      <w:sz w:val="24"/>
      <w:szCs w:val="24"/>
      <w:u w:val="single"/>
      <w:lang w:val="en-US"/>
    </w:rPr>
  </w:style>
  <w:style w:type="paragraph" w:styleId="Pagrindinistekstas">
    <w:name w:val="Body Text"/>
    <w:basedOn w:val="prastasis"/>
    <w:link w:val="PagrindinistekstasDiagrama"/>
    <w:rsid w:val="00111F16"/>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111F16"/>
    <w:rPr>
      <w:rFonts w:ascii="Times New Roman" w:hAnsi="Times New Roman" w:cs="Times New Roman"/>
      <w:szCs w:val="20"/>
      <w:lang w:val="sl-SI" w:eastAsia="sl-SI"/>
    </w:rPr>
  </w:style>
  <w:style w:type="paragraph" w:styleId="Komentarotekstas">
    <w:name w:val="annotation text"/>
    <w:basedOn w:val="prastasis"/>
    <w:link w:val="KomentarotekstasDiagrama"/>
    <w:unhideWhenUsed/>
    <w:rsid w:val="00111F16"/>
    <w:rPr>
      <w:sz w:val="20"/>
      <w:lang w:val="lt-LT" w:eastAsia="lt-LT"/>
    </w:rPr>
  </w:style>
  <w:style w:type="character" w:customStyle="1" w:styleId="KomentarotekstasDiagrama">
    <w:name w:val="Komentaro tekstas Diagrama"/>
    <w:basedOn w:val="Numatytasispastraiposriftas"/>
    <w:link w:val="Komentarotekstas"/>
    <w:rsid w:val="00111F16"/>
    <w:rPr>
      <w:rFonts w:ascii="Times New Roman" w:hAnsi="Times New Roman" w:cs="Times New Roman"/>
      <w:sz w:val="20"/>
      <w:szCs w:val="20"/>
      <w:lang w:eastAsia="lt-LT"/>
    </w:rPr>
  </w:style>
  <w:style w:type="paragraph" w:styleId="prastasiniatinklio">
    <w:name w:val="Normal (Web)"/>
    <w:basedOn w:val="prastasis"/>
    <w:unhideWhenUsed/>
    <w:rsid w:val="00111F16"/>
    <w:pPr>
      <w:spacing w:before="100" w:beforeAutospacing="1" w:after="100" w:afterAutospacing="1"/>
    </w:pPr>
    <w:rPr>
      <w:szCs w:val="24"/>
    </w:rPr>
  </w:style>
  <w:style w:type="paragraph" w:customStyle="1" w:styleId="naslovSmPC-a">
    <w:name w:val="naslov SmPC-a"/>
    <w:basedOn w:val="prastasis"/>
    <w:rsid w:val="00111F16"/>
    <w:pPr>
      <w:spacing w:before="240" w:after="120" w:line="360" w:lineRule="atLeast"/>
    </w:pPr>
    <w:rPr>
      <w:rFonts w:ascii="Arial" w:hAnsi="Arial"/>
      <w:b/>
      <w:lang w:val="en-GB" w:eastAsia="en-US"/>
    </w:rPr>
  </w:style>
  <w:style w:type="paragraph" w:customStyle="1" w:styleId="paragraph">
    <w:name w:val="paragraph"/>
    <w:basedOn w:val="prastasis"/>
    <w:rsid w:val="00111F16"/>
    <w:rPr>
      <w:szCs w:val="24"/>
    </w:rPr>
  </w:style>
  <w:style w:type="paragraph" w:customStyle="1" w:styleId="BTEMEASMCA">
    <w:name w:val="BT EMEA_SMCA"/>
    <w:basedOn w:val="prastasis"/>
    <w:link w:val="BTEMEASMCAChar"/>
    <w:autoRedefine/>
    <w:rsid w:val="00111F16"/>
    <w:rPr>
      <w:noProof/>
      <w:sz w:val="22"/>
      <w:szCs w:val="22"/>
      <w:lang w:val="lt-LT" w:eastAsia="en-US"/>
    </w:rPr>
  </w:style>
  <w:style w:type="paragraph" w:customStyle="1" w:styleId="TTEMEASMCA">
    <w:name w:val="TT EMEA_SMCA"/>
    <w:basedOn w:val="Antrat1"/>
    <w:link w:val="TTEMEASMCAChar"/>
    <w:autoRedefine/>
    <w:rsid w:val="00111F16"/>
    <w:pPr>
      <w:keepNext w:val="0"/>
      <w:keepLines w:val="0"/>
      <w:widowControl w:val="0"/>
      <w:tabs>
        <w:tab w:val="left" w:pos="567"/>
      </w:tabs>
      <w:spacing w:before="0"/>
      <w:ind w:left="567" w:hanging="567"/>
      <w:jc w:val="center"/>
    </w:pPr>
    <w:rPr>
      <w:rFonts w:ascii="Times New Roman" w:eastAsia="Times New Roman" w:hAnsi="Times New Roman" w:cs="Times New Roman"/>
      <w:b/>
      <w:color w:val="auto"/>
      <w:sz w:val="22"/>
      <w:szCs w:val="22"/>
      <w:lang w:val="lt-LT" w:eastAsia="en-US"/>
    </w:rPr>
  </w:style>
  <w:style w:type="character" w:customStyle="1" w:styleId="TTEMEASMCAChar">
    <w:name w:val="TT EMEA_SMCA Char"/>
    <w:link w:val="TTEMEASMCA"/>
    <w:rsid w:val="00111F16"/>
    <w:rPr>
      <w:rFonts w:ascii="Times New Roman" w:hAnsi="Times New Roman" w:cs="Times New Roman"/>
      <w:b/>
    </w:rPr>
  </w:style>
  <w:style w:type="paragraph" w:customStyle="1" w:styleId="BT-EMEASMCA">
    <w:name w:val="BT- EMEA_SMCA"/>
    <w:basedOn w:val="BTEMEASMCA"/>
    <w:autoRedefine/>
    <w:rsid w:val="00111F16"/>
    <w:pPr>
      <w:numPr>
        <w:numId w:val="1"/>
      </w:numPr>
    </w:pPr>
  </w:style>
  <w:style w:type="paragraph" w:customStyle="1" w:styleId="BTbEMEASMCA">
    <w:name w:val="BT(b) EMEA_SMCA"/>
    <w:basedOn w:val="BTEMEASMCA"/>
    <w:autoRedefine/>
    <w:rsid w:val="00111F16"/>
    <w:rPr>
      <w:b/>
    </w:rPr>
  </w:style>
  <w:style w:type="character" w:customStyle="1" w:styleId="BTEMEASMCAChar">
    <w:name w:val="BT EMEA_SMCA Char"/>
    <w:link w:val="BTEMEASMCA"/>
    <w:rsid w:val="00111F16"/>
    <w:rPr>
      <w:rFonts w:ascii="Times New Roman" w:hAnsi="Times New Roman" w:cs="Times New Roman"/>
      <w:noProof/>
    </w:rPr>
  </w:style>
  <w:style w:type="paragraph" w:customStyle="1" w:styleId="PI-3EMEASMCA">
    <w:name w:val="PI-3 EMEA_SMCA"/>
    <w:basedOn w:val="prastasis"/>
    <w:autoRedefine/>
    <w:rsid w:val="00111F16"/>
    <w:pPr>
      <w:spacing w:line="220" w:lineRule="exact"/>
    </w:pPr>
    <w:rPr>
      <w:b/>
      <w:bCs/>
      <w:sz w:val="22"/>
      <w:szCs w:val="22"/>
      <w:lang w:val="lt-LT" w:eastAsia="en-US"/>
    </w:rPr>
  </w:style>
  <w:style w:type="paragraph" w:customStyle="1" w:styleId="PI-1EMEASMCA">
    <w:name w:val="PI-1 EMEA_SMCA"/>
    <w:basedOn w:val="Antrat2"/>
    <w:autoRedefine/>
    <w:rsid w:val="00111F16"/>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Antrat1Diagrama">
    <w:name w:val="Antraštė 1 Diagrama"/>
    <w:basedOn w:val="Numatytasispastraiposriftas"/>
    <w:link w:val="Antrat1"/>
    <w:uiPriority w:val="9"/>
    <w:rsid w:val="00111F16"/>
    <w:rPr>
      <w:rFonts w:asciiTheme="majorHAnsi" w:eastAsiaTheme="majorEastAsia" w:hAnsiTheme="majorHAnsi" w:cstheme="majorBidi"/>
      <w:color w:val="2E74B5" w:themeColor="accent1" w:themeShade="BF"/>
      <w:sz w:val="32"/>
      <w:szCs w:val="3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10282</Words>
  <Characters>5862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2021-12-20T11:24:00Z</dcterms:created>
  <dcterms:modified xsi:type="dcterms:W3CDTF">2021-12-20T11:25:00Z</dcterms:modified>
</cp:coreProperties>
</file>