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361" w:rsidRPr="007A4754" w:rsidRDefault="00620361" w:rsidP="00620361">
      <w:pPr>
        <w:spacing w:after="0" w:line="240" w:lineRule="auto"/>
        <w:jc w:val="center"/>
        <w:rPr>
          <w:rFonts w:ascii="Times New Roman" w:eastAsia="Times New Roman" w:hAnsi="Times New Roman"/>
          <w:b/>
          <w:lang w:eastAsia="lt-LT"/>
        </w:rPr>
      </w:pPr>
      <w:r w:rsidRPr="007A4754">
        <w:rPr>
          <w:rFonts w:ascii="Times New Roman" w:eastAsia="Times New Roman" w:hAnsi="Times New Roman"/>
          <w:b/>
          <w:lang w:eastAsia="lt-LT"/>
        </w:rPr>
        <w:t>Pakuotės lapelis: informacija vartotojui</w:t>
      </w:r>
    </w:p>
    <w:p w:rsidR="00620361" w:rsidRPr="007A4754" w:rsidRDefault="00620361" w:rsidP="00620361">
      <w:pPr>
        <w:spacing w:after="0" w:line="240" w:lineRule="auto"/>
        <w:jc w:val="center"/>
        <w:rPr>
          <w:rFonts w:ascii="Times New Roman" w:eastAsia="Times New Roman" w:hAnsi="Times New Roman"/>
          <w:b/>
          <w:lang w:eastAsia="lt-LT"/>
        </w:rPr>
      </w:pPr>
    </w:p>
    <w:p w:rsidR="00620361" w:rsidRPr="007A4754" w:rsidRDefault="00620361" w:rsidP="00620361">
      <w:pPr>
        <w:spacing w:after="0" w:line="240" w:lineRule="auto"/>
        <w:jc w:val="center"/>
        <w:rPr>
          <w:rFonts w:ascii="Times New Roman" w:eastAsia="Times New Roman" w:hAnsi="Times New Roman"/>
          <w:b/>
          <w:bCs/>
          <w:lang w:eastAsia="lt-LT"/>
        </w:rPr>
      </w:pPr>
      <w:r w:rsidRPr="007A4754">
        <w:rPr>
          <w:rFonts w:ascii="Times New Roman" w:eastAsia="Times New Roman" w:hAnsi="Times New Roman"/>
          <w:b/>
          <w:bCs/>
          <w:lang w:eastAsia="lt-LT"/>
        </w:rPr>
        <w:t>LINCOCIN 500 mg</w:t>
      </w:r>
      <w:r w:rsidRPr="007A4754">
        <w:rPr>
          <w:rFonts w:ascii="Times New Roman" w:eastAsia="Times New Roman" w:hAnsi="Times New Roman"/>
          <w:b/>
          <w:lang w:eastAsia="lt-LT"/>
        </w:rPr>
        <w:t xml:space="preserve"> kietosios </w:t>
      </w:r>
      <w:r w:rsidRPr="007A4754">
        <w:rPr>
          <w:rFonts w:ascii="Times New Roman" w:eastAsia="Times New Roman" w:hAnsi="Times New Roman"/>
          <w:b/>
          <w:bCs/>
          <w:lang w:eastAsia="lt-LT"/>
        </w:rPr>
        <w:t>kapsulės</w:t>
      </w:r>
    </w:p>
    <w:p w:rsidR="00620361" w:rsidRPr="007A4754" w:rsidRDefault="00620361" w:rsidP="00620361">
      <w:pPr>
        <w:spacing w:after="0" w:line="240" w:lineRule="auto"/>
        <w:jc w:val="center"/>
        <w:rPr>
          <w:rFonts w:ascii="Times New Roman" w:eastAsia="Times New Roman" w:hAnsi="Times New Roman"/>
          <w:lang w:eastAsia="lt-LT"/>
        </w:rPr>
      </w:pPr>
      <w:r>
        <w:rPr>
          <w:rFonts w:ascii="Times New Roman" w:eastAsia="Times New Roman" w:hAnsi="Times New Roman"/>
          <w:bCs/>
          <w:lang w:eastAsia="lt-LT"/>
        </w:rPr>
        <w:t>l</w:t>
      </w:r>
      <w:r w:rsidRPr="007A4754">
        <w:rPr>
          <w:rFonts w:ascii="Times New Roman" w:eastAsia="Times New Roman" w:hAnsi="Times New Roman"/>
          <w:bCs/>
          <w:lang w:eastAsia="lt-LT"/>
        </w:rPr>
        <w:t>inkomicinas</w:t>
      </w:r>
    </w:p>
    <w:p w:rsidR="00620361" w:rsidRPr="007A4754" w:rsidRDefault="00620361" w:rsidP="00620361">
      <w:pPr>
        <w:spacing w:after="0" w:line="240" w:lineRule="auto"/>
        <w:rPr>
          <w:rFonts w:ascii="Times New Roman" w:eastAsia="Times New Roman" w:hAnsi="Times New Roman"/>
          <w:lang w:eastAsia="lt-LT"/>
        </w:rPr>
      </w:pPr>
    </w:p>
    <w:p w:rsidR="00620361" w:rsidRPr="007A4754" w:rsidRDefault="00620361" w:rsidP="00620361">
      <w:pPr>
        <w:spacing w:after="0" w:line="240" w:lineRule="auto"/>
        <w:rPr>
          <w:rFonts w:ascii="Times New Roman" w:eastAsia="Times New Roman" w:hAnsi="Times New Roman"/>
          <w:b/>
          <w:lang w:eastAsia="lt-LT"/>
        </w:rPr>
      </w:pPr>
      <w:r w:rsidRPr="007A4754">
        <w:rPr>
          <w:rFonts w:ascii="Times New Roman" w:eastAsia="Times New Roman" w:hAnsi="Times New Roman"/>
          <w:b/>
          <w:lang w:eastAsia="lt-LT"/>
        </w:rPr>
        <w:t>Atidžiai perskaitykite visą šį lapelį, prieš pradėdami vartoti vaistą, nes jame pateikiama Jums svarbi informacija.</w:t>
      </w:r>
    </w:p>
    <w:p w:rsidR="00620361" w:rsidRPr="007A4754" w:rsidRDefault="00620361" w:rsidP="00620361">
      <w:pPr>
        <w:spacing w:after="0" w:line="240" w:lineRule="auto"/>
        <w:ind w:left="567" w:hanging="567"/>
        <w:rPr>
          <w:rFonts w:ascii="Times New Roman" w:eastAsia="Times New Roman" w:hAnsi="Times New Roman"/>
          <w:lang w:eastAsia="lt-LT"/>
        </w:rPr>
      </w:pPr>
      <w:r w:rsidRPr="007A4754">
        <w:rPr>
          <w:rFonts w:ascii="Times New Roman" w:eastAsia="Times New Roman" w:hAnsi="Times New Roman"/>
          <w:lang w:eastAsia="lt-LT"/>
        </w:rPr>
        <w:t>-</w:t>
      </w:r>
      <w:r w:rsidRPr="007A4754">
        <w:rPr>
          <w:rFonts w:ascii="Times New Roman" w:eastAsia="Times New Roman" w:hAnsi="Times New Roman"/>
          <w:lang w:eastAsia="lt-LT"/>
        </w:rPr>
        <w:tab/>
        <w:t>Neišmeskite šio lapelio, nes vėl gali prireikti jį perskaityti.</w:t>
      </w:r>
    </w:p>
    <w:p w:rsidR="00620361" w:rsidRPr="007A4754" w:rsidRDefault="00620361" w:rsidP="00620361">
      <w:pPr>
        <w:spacing w:after="0" w:line="240" w:lineRule="auto"/>
        <w:ind w:left="567" w:hanging="567"/>
        <w:rPr>
          <w:rFonts w:ascii="Times New Roman" w:eastAsia="Times New Roman" w:hAnsi="Times New Roman"/>
          <w:lang w:eastAsia="lt-LT"/>
        </w:rPr>
      </w:pPr>
      <w:r w:rsidRPr="007A4754">
        <w:rPr>
          <w:rFonts w:ascii="Times New Roman" w:eastAsia="Times New Roman" w:hAnsi="Times New Roman"/>
          <w:lang w:eastAsia="lt-LT"/>
        </w:rPr>
        <w:t>-</w:t>
      </w:r>
      <w:r w:rsidRPr="007A4754">
        <w:rPr>
          <w:rFonts w:ascii="Times New Roman" w:eastAsia="Times New Roman" w:hAnsi="Times New Roman"/>
          <w:lang w:eastAsia="lt-LT"/>
        </w:rPr>
        <w:tab/>
        <w:t>Jeigu kiltų daugiau klausimų, kreipkitės į gydytoją arba vaistininką.</w:t>
      </w:r>
    </w:p>
    <w:p w:rsidR="00620361" w:rsidRPr="007A4754" w:rsidRDefault="00620361" w:rsidP="00620361">
      <w:pPr>
        <w:spacing w:after="0" w:line="240" w:lineRule="auto"/>
        <w:ind w:left="567" w:hanging="567"/>
        <w:rPr>
          <w:rFonts w:ascii="Times New Roman" w:eastAsia="Times New Roman" w:hAnsi="Times New Roman"/>
          <w:lang w:eastAsia="lt-LT"/>
        </w:rPr>
      </w:pPr>
      <w:r w:rsidRPr="007A4754">
        <w:rPr>
          <w:rFonts w:ascii="Times New Roman" w:eastAsia="Times New Roman" w:hAnsi="Times New Roman"/>
          <w:lang w:eastAsia="lt-LT"/>
        </w:rPr>
        <w:t>-</w:t>
      </w:r>
      <w:r w:rsidRPr="007A4754">
        <w:rPr>
          <w:rFonts w:ascii="Times New Roman" w:eastAsia="Times New Roman" w:hAnsi="Times New Roman"/>
          <w:lang w:eastAsia="lt-LT"/>
        </w:rPr>
        <w:tab/>
        <w:t xml:space="preserve">Šis vaistas skirtas Jums, todėl kitiems žmonėms jo duoti negalima. Vaistas gali jiems pakenkti (net tiems, kurių ligos </w:t>
      </w:r>
      <w:r>
        <w:rPr>
          <w:rFonts w:ascii="Times New Roman" w:eastAsia="Times New Roman" w:hAnsi="Times New Roman"/>
          <w:lang w:eastAsia="lt-LT"/>
        </w:rPr>
        <w:t>požymiai</w:t>
      </w:r>
      <w:r w:rsidRPr="007A4754">
        <w:rPr>
          <w:rFonts w:ascii="Times New Roman" w:eastAsia="Times New Roman" w:hAnsi="Times New Roman"/>
          <w:lang w:eastAsia="lt-LT"/>
        </w:rPr>
        <w:t xml:space="preserve"> yra tokie patys kaip Jūsų).</w:t>
      </w:r>
    </w:p>
    <w:p w:rsidR="00620361" w:rsidRPr="007A4754" w:rsidRDefault="00620361" w:rsidP="00620361">
      <w:pPr>
        <w:spacing w:after="0" w:line="240" w:lineRule="auto"/>
        <w:ind w:left="567" w:hanging="567"/>
        <w:rPr>
          <w:rFonts w:ascii="Times New Roman" w:eastAsia="Times New Roman" w:hAnsi="Times New Roman"/>
          <w:lang w:eastAsia="lt-LT"/>
        </w:rPr>
      </w:pPr>
      <w:r w:rsidRPr="007A4754">
        <w:rPr>
          <w:rFonts w:ascii="Times New Roman" w:eastAsia="Times New Roman" w:hAnsi="Times New Roman"/>
          <w:lang w:eastAsia="lt-LT"/>
        </w:rPr>
        <w:t>-</w:t>
      </w:r>
      <w:r w:rsidRPr="007A4754">
        <w:rPr>
          <w:rFonts w:ascii="Times New Roman" w:eastAsia="Times New Roman" w:hAnsi="Times New Roman"/>
          <w:lang w:eastAsia="lt-LT"/>
        </w:rPr>
        <w:tab/>
        <w:t>Jeigu pasireiškė šalutinis poveikis (net jeigu jis šiame lapelyje nenurodytas), kreipkitės į gydytoją arba vaistininką. Žr. 4 skyrių.</w:t>
      </w:r>
    </w:p>
    <w:p w:rsidR="00620361" w:rsidRPr="007A4754" w:rsidRDefault="00620361" w:rsidP="00620361">
      <w:pPr>
        <w:spacing w:after="0" w:line="240" w:lineRule="auto"/>
        <w:rPr>
          <w:rFonts w:ascii="Times New Roman" w:eastAsia="Times New Roman" w:hAnsi="Times New Roman"/>
          <w:lang w:eastAsia="lt-LT"/>
        </w:rPr>
      </w:pPr>
    </w:p>
    <w:p w:rsidR="00620361" w:rsidRDefault="00620361" w:rsidP="00620361">
      <w:pPr>
        <w:spacing w:after="0" w:line="240" w:lineRule="auto"/>
        <w:rPr>
          <w:rFonts w:ascii="Times New Roman" w:eastAsia="Times New Roman" w:hAnsi="Times New Roman"/>
          <w:b/>
          <w:lang w:eastAsia="lt-LT"/>
        </w:rPr>
      </w:pPr>
      <w:r w:rsidRPr="007A4754">
        <w:rPr>
          <w:rFonts w:ascii="Times New Roman" w:eastAsia="Times New Roman" w:hAnsi="Times New Roman"/>
          <w:b/>
          <w:lang w:eastAsia="lt-LT"/>
        </w:rPr>
        <w:t>Apie ką rašoma šiame lapelyje?</w:t>
      </w:r>
    </w:p>
    <w:p w:rsidR="00620361" w:rsidRPr="007A4754" w:rsidRDefault="00620361" w:rsidP="00620361">
      <w:pPr>
        <w:spacing w:after="0" w:line="240" w:lineRule="auto"/>
        <w:rPr>
          <w:rFonts w:ascii="Times New Roman" w:eastAsia="Times New Roman" w:hAnsi="Times New Roman"/>
          <w:b/>
          <w:lang w:eastAsia="lt-LT"/>
        </w:rPr>
      </w:pPr>
    </w:p>
    <w:p w:rsidR="00620361" w:rsidRPr="007A4754" w:rsidRDefault="00620361" w:rsidP="00620361">
      <w:pPr>
        <w:tabs>
          <w:tab w:val="left" w:pos="567"/>
        </w:tabs>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1.</w:t>
      </w:r>
      <w:r w:rsidRPr="007A4754">
        <w:rPr>
          <w:rFonts w:ascii="Times New Roman" w:eastAsia="Times New Roman" w:hAnsi="Times New Roman"/>
          <w:lang w:eastAsia="lt-LT"/>
        </w:rPr>
        <w:tab/>
        <w:t>Kas yra LINCOCIN ir kam jis vartojamas</w:t>
      </w:r>
    </w:p>
    <w:p w:rsidR="00620361" w:rsidRPr="007A4754" w:rsidRDefault="00620361" w:rsidP="00620361">
      <w:pPr>
        <w:tabs>
          <w:tab w:val="left" w:pos="567"/>
        </w:tabs>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2.</w:t>
      </w:r>
      <w:r w:rsidRPr="007A4754">
        <w:rPr>
          <w:rFonts w:ascii="Times New Roman" w:eastAsia="Times New Roman" w:hAnsi="Times New Roman"/>
          <w:lang w:eastAsia="lt-LT"/>
        </w:rPr>
        <w:tab/>
        <w:t>Kas žinotina prieš vartojant LINCOCIN</w:t>
      </w:r>
    </w:p>
    <w:p w:rsidR="00620361" w:rsidRPr="007A4754" w:rsidRDefault="00620361" w:rsidP="00620361">
      <w:pPr>
        <w:tabs>
          <w:tab w:val="left" w:pos="567"/>
        </w:tabs>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3.</w:t>
      </w:r>
      <w:r w:rsidRPr="007A4754">
        <w:rPr>
          <w:rFonts w:ascii="Times New Roman" w:eastAsia="Times New Roman" w:hAnsi="Times New Roman"/>
          <w:lang w:eastAsia="lt-LT"/>
        </w:rPr>
        <w:tab/>
        <w:t>Kaip vartoti LINCOCIN</w:t>
      </w:r>
    </w:p>
    <w:p w:rsidR="00620361" w:rsidRPr="007A4754" w:rsidRDefault="00620361" w:rsidP="00620361">
      <w:pPr>
        <w:tabs>
          <w:tab w:val="left" w:pos="567"/>
        </w:tabs>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4.</w:t>
      </w:r>
      <w:r w:rsidRPr="007A4754">
        <w:rPr>
          <w:rFonts w:ascii="Times New Roman" w:eastAsia="Times New Roman" w:hAnsi="Times New Roman"/>
          <w:lang w:eastAsia="lt-LT"/>
        </w:rPr>
        <w:tab/>
        <w:t>Galimas šalutinis poveikis</w:t>
      </w:r>
    </w:p>
    <w:p w:rsidR="00620361" w:rsidRPr="007A4754" w:rsidRDefault="00620361" w:rsidP="00620361">
      <w:pPr>
        <w:tabs>
          <w:tab w:val="left" w:pos="567"/>
        </w:tabs>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5.</w:t>
      </w:r>
      <w:r w:rsidRPr="007A4754">
        <w:rPr>
          <w:rFonts w:ascii="Times New Roman" w:eastAsia="Times New Roman" w:hAnsi="Times New Roman"/>
          <w:lang w:eastAsia="lt-LT"/>
        </w:rPr>
        <w:tab/>
        <w:t>Kaip laikyti LINCOCIN</w:t>
      </w:r>
    </w:p>
    <w:p w:rsidR="00620361" w:rsidRPr="007A4754" w:rsidRDefault="00620361" w:rsidP="00620361">
      <w:pPr>
        <w:tabs>
          <w:tab w:val="left" w:pos="567"/>
        </w:tabs>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6.</w:t>
      </w:r>
      <w:r w:rsidRPr="007A4754">
        <w:rPr>
          <w:rFonts w:ascii="Times New Roman" w:eastAsia="Times New Roman" w:hAnsi="Times New Roman"/>
          <w:lang w:eastAsia="lt-LT"/>
        </w:rPr>
        <w:tab/>
        <w:t>Pakuotės turinys ir kita informacija</w:t>
      </w:r>
    </w:p>
    <w:p w:rsidR="00620361" w:rsidRPr="007A4754" w:rsidRDefault="00620361" w:rsidP="00620361">
      <w:pPr>
        <w:spacing w:after="0" w:line="240" w:lineRule="auto"/>
        <w:rPr>
          <w:rFonts w:ascii="Times New Roman" w:eastAsia="Times New Roman" w:hAnsi="Times New Roman"/>
          <w:lang w:eastAsia="lt-LT"/>
        </w:rPr>
      </w:pPr>
    </w:p>
    <w:p w:rsidR="00620361" w:rsidRPr="007A4754" w:rsidRDefault="00620361" w:rsidP="00620361">
      <w:pPr>
        <w:spacing w:after="0" w:line="240" w:lineRule="auto"/>
        <w:rPr>
          <w:rFonts w:ascii="Times New Roman" w:eastAsia="Times New Roman" w:hAnsi="Times New Roman"/>
          <w:lang w:eastAsia="lt-LT"/>
        </w:rPr>
      </w:pPr>
    </w:p>
    <w:p w:rsidR="00620361" w:rsidRPr="007A4754" w:rsidRDefault="00620361" w:rsidP="00620361">
      <w:pPr>
        <w:keepNext/>
        <w:spacing w:after="0" w:line="240" w:lineRule="auto"/>
        <w:ind w:left="567" w:hanging="567"/>
        <w:outlineLvl w:val="1"/>
        <w:rPr>
          <w:rFonts w:ascii="Times New Roman" w:eastAsia="Times New Roman" w:hAnsi="Times New Roman"/>
          <w:b/>
          <w:lang w:eastAsia="lt-LT"/>
        </w:rPr>
      </w:pPr>
      <w:r w:rsidRPr="007A4754">
        <w:rPr>
          <w:rFonts w:ascii="Times New Roman" w:eastAsia="Times New Roman" w:hAnsi="Times New Roman"/>
          <w:b/>
          <w:lang w:eastAsia="lt-LT"/>
        </w:rPr>
        <w:t>1.</w:t>
      </w:r>
      <w:r w:rsidRPr="007A4754">
        <w:rPr>
          <w:rFonts w:ascii="Times New Roman" w:eastAsia="Times New Roman" w:hAnsi="Times New Roman"/>
          <w:b/>
          <w:lang w:eastAsia="lt-LT"/>
        </w:rPr>
        <w:tab/>
        <w:t>Kas yra LINCOCIN ir kam jis vartojamas</w:t>
      </w:r>
    </w:p>
    <w:p w:rsidR="00620361" w:rsidRPr="007A4754" w:rsidRDefault="00620361" w:rsidP="00620361">
      <w:pPr>
        <w:spacing w:after="0" w:line="240" w:lineRule="auto"/>
        <w:rPr>
          <w:rFonts w:ascii="Times New Roman" w:eastAsia="Times New Roman" w:hAnsi="Times New Roman"/>
          <w:lang w:eastAsia="lt-LT"/>
        </w:rPr>
      </w:pPr>
    </w:p>
    <w:p w:rsidR="00620361" w:rsidRPr="007A4754" w:rsidRDefault="00620361" w:rsidP="00620361">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LINCOCIN yra antibiotikas, kuri</w:t>
      </w:r>
      <w:r>
        <w:rPr>
          <w:rFonts w:ascii="Times New Roman" w:eastAsia="Times New Roman" w:hAnsi="Times New Roman"/>
          <w:lang w:eastAsia="lt-LT"/>
        </w:rPr>
        <w:t>o veiklioji medžiaga linkomicinas</w:t>
      </w:r>
      <w:r w:rsidRPr="007A4754">
        <w:rPr>
          <w:rFonts w:ascii="Times New Roman" w:eastAsia="Times New Roman" w:hAnsi="Times New Roman"/>
          <w:lang w:eastAsia="lt-LT"/>
        </w:rPr>
        <w:t xml:space="preserve"> slopina linkomicinui jautrių mikroorganizmų dauginimąsi.</w:t>
      </w:r>
    </w:p>
    <w:p w:rsidR="00620361" w:rsidRPr="007A4754" w:rsidRDefault="00620361" w:rsidP="00620361">
      <w:pPr>
        <w:spacing w:after="0" w:line="240" w:lineRule="auto"/>
        <w:rPr>
          <w:rFonts w:ascii="Times New Roman" w:eastAsia="Times New Roman" w:hAnsi="Times New Roman"/>
          <w:lang w:eastAsia="lt-LT"/>
        </w:rPr>
      </w:pPr>
    </w:p>
    <w:p w:rsidR="00620361" w:rsidRPr="007A4754" w:rsidRDefault="00620361" w:rsidP="00620361">
      <w:pPr>
        <w:widowControl w:val="0"/>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LINCOCIN gydomos toliau išvardytos infekcinės ligos, sukeltos jautrių mikroorganizmų (streptokokų, pneumokokų ar stafilokokų):</w:t>
      </w:r>
    </w:p>
    <w:p w:rsidR="00620361" w:rsidRPr="007A4754" w:rsidRDefault="00620361" w:rsidP="00620361">
      <w:pPr>
        <w:widowControl w:val="0"/>
        <w:numPr>
          <w:ilvl w:val="0"/>
          <w:numId w:val="1"/>
        </w:numPr>
        <w:tabs>
          <w:tab w:val="num" w:pos="567"/>
        </w:tabs>
        <w:spacing w:after="0" w:line="240" w:lineRule="auto"/>
        <w:ind w:left="567" w:hanging="567"/>
        <w:rPr>
          <w:rFonts w:ascii="Times New Roman" w:eastAsia="Times New Roman" w:hAnsi="Times New Roman"/>
          <w:lang w:eastAsia="lt-LT"/>
        </w:rPr>
      </w:pPr>
      <w:r w:rsidRPr="007A4754">
        <w:rPr>
          <w:rFonts w:ascii="Times New Roman" w:eastAsia="Times New Roman" w:hAnsi="Times New Roman"/>
          <w:lang w:eastAsia="lt-LT"/>
        </w:rPr>
        <w:t>migdolų uždegimas, gerklų uždegimas, nosies ančių uždegimas;</w:t>
      </w:r>
    </w:p>
    <w:p w:rsidR="00620361" w:rsidRPr="007A4754" w:rsidRDefault="00620361" w:rsidP="00620361">
      <w:pPr>
        <w:widowControl w:val="0"/>
        <w:numPr>
          <w:ilvl w:val="0"/>
          <w:numId w:val="1"/>
        </w:numPr>
        <w:tabs>
          <w:tab w:val="num" w:pos="567"/>
        </w:tabs>
        <w:spacing w:after="0" w:line="240" w:lineRule="auto"/>
        <w:ind w:left="567" w:hanging="567"/>
        <w:rPr>
          <w:rFonts w:ascii="Times New Roman" w:eastAsia="Times New Roman" w:hAnsi="Times New Roman"/>
          <w:lang w:eastAsia="lt-LT"/>
        </w:rPr>
      </w:pPr>
      <w:r w:rsidRPr="007A4754">
        <w:rPr>
          <w:rFonts w:ascii="Times New Roman" w:eastAsia="Times New Roman" w:hAnsi="Times New Roman"/>
          <w:lang w:eastAsia="lt-LT"/>
        </w:rPr>
        <w:t>skarlatina, difterija;</w:t>
      </w:r>
    </w:p>
    <w:p w:rsidR="00620361" w:rsidRPr="007A4754" w:rsidRDefault="00620361" w:rsidP="00620361">
      <w:pPr>
        <w:widowControl w:val="0"/>
        <w:numPr>
          <w:ilvl w:val="0"/>
          <w:numId w:val="1"/>
        </w:numPr>
        <w:tabs>
          <w:tab w:val="num" w:pos="567"/>
        </w:tabs>
        <w:spacing w:after="0" w:line="240" w:lineRule="auto"/>
        <w:ind w:left="567" w:hanging="567"/>
        <w:rPr>
          <w:rFonts w:ascii="Times New Roman" w:eastAsia="Times New Roman" w:hAnsi="Times New Roman"/>
          <w:lang w:eastAsia="lt-LT"/>
        </w:rPr>
      </w:pPr>
      <w:r w:rsidRPr="007A4754">
        <w:rPr>
          <w:rFonts w:ascii="Times New Roman" w:eastAsia="Times New Roman" w:hAnsi="Times New Roman"/>
          <w:lang w:eastAsia="lt-LT"/>
        </w:rPr>
        <w:t>vidurinės ausies uždegimas, speninės ataugos uždegimas;</w:t>
      </w:r>
    </w:p>
    <w:p w:rsidR="00620361" w:rsidRPr="007A4754" w:rsidRDefault="00620361" w:rsidP="00620361">
      <w:pPr>
        <w:widowControl w:val="0"/>
        <w:numPr>
          <w:ilvl w:val="0"/>
          <w:numId w:val="1"/>
        </w:numPr>
        <w:tabs>
          <w:tab w:val="num" w:pos="567"/>
        </w:tabs>
        <w:spacing w:after="0" w:line="240" w:lineRule="auto"/>
        <w:ind w:left="567" w:hanging="567"/>
        <w:rPr>
          <w:rFonts w:ascii="Times New Roman" w:eastAsia="Times New Roman" w:hAnsi="Times New Roman"/>
          <w:lang w:eastAsia="lt-LT"/>
        </w:rPr>
      </w:pPr>
      <w:r w:rsidRPr="007A4754">
        <w:rPr>
          <w:rFonts w:ascii="Times New Roman" w:eastAsia="Times New Roman" w:hAnsi="Times New Roman"/>
          <w:lang w:eastAsia="lt-LT"/>
        </w:rPr>
        <w:t>ūminis bronchitas, lėtinio bronchito paūmėjimas ir plaučių uždegimas;</w:t>
      </w:r>
    </w:p>
    <w:p w:rsidR="00620361" w:rsidRPr="007A4754" w:rsidRDefault="00620361" w:rsidP="00620361">
      <w:pPr>
        <w:widowControl w:val="0"/>
        <w:numPr>
          <w:ilvl w:val="0"/>
          <w:numId w:val="1"/>
        </w:numPr>
        <w:tabs>
          <w:tab w:val="num" w:pos="567"/>
        </w:tabs>
        <w:spacing w:after="0" w:line="240" w:lineRule="auto"/>
        <w:ind w:left="567" w:hanging="567"/>
        <w:rPr>
          <w:rFonts w:ascii="Times New Roman" w:eastAsia="Times New Roman" w:hAnsi="Times New Roman"/>
          <w:lang w:eastAsia="lt-LT"/>
        </w:rPr>
      </w:pPr>
      <w:r w:rsidRPr="007A4754">
        <w:rPr>
          <w:rFonts w:ascii="Times New Roman" w:eastAsia="Times New Roman" w:hAnsi="Times New Roman"/>
          <w:lang w:eastAsia="lt-LT"/>
        </w:rPr>
        <w:t>puriojo ląstelyno uždegimas, šunvotės, pūliniai, pūlinėlinė, spuogai ir žaizdų infekcijos, taip pat rožė, limfmazgių uždegimas, pūlinis nago krantelių uždegimas, pūlinis piršto uždegimas, krūtų uždegimas ir odos gangrena;</w:t>
      </w:r>
    </w:p>
    <w:p w:rsidR="00620361" w:rsidRPr="007A4754" w:rsidRDefault="00620361" w:rsidP="00620361">
      <w:pPr>
        <w:widowControl w:val="0"/>
        <w:numPr>
          <w:ilvl w:val="0"/>
          <w:numId w:val="1"/>
        </w:numPr>
        <w:tabs>
          <w:tab w:val="num" w:pos="567"/>
        </w:tabs>
        <w:spacing w:after="0" w:line="240" w:lineRule="auto"/>
        <w:ind w:left="567" w:hanging="567"/>
        <w:rPr>
          <w:rFonts w:ascii="Times New Roman" w:eastAsia="Times New Roman" w:hAnsi="Times New Roman"/>
          <w:lang w:eastAsia="lt-LT"/>
        </w:rPr>
      </w:pPr>
      <w:r w:rsidRPr="007A4754">
        <w:rPr>
          <w:rFonts w:ascii="Times New Roman" w:eastAsia="Times New Roman" w:hAnsi="Times New Roman"/>
          <w:lang w:eastAsia="lt-LT"/>
        </w:rPr>
        <w:t>kaulų čiulpų uždegimas ir sepsinis sąnarių uždegimas.</w:t>
      </w:r>
    </w:p>
    <w:p w:rsidR="00620361" w:rsidRPr="007A4754" w:rsidRDefault="00620361" w:rsidP="00620361">
      <w:pPr>
        <w:spacing w:after="0" w:line="240" w:lineRule="auto"/>
        <w:rPr>
          <w:rFonts w:ascii="Times New Roman" w:eastAsia="Times New Roman" w:hAnsi="Times New Roman"/>
          <w:lang w:eastAsia="lt-LT"/>
        </w:rPr>
      </w:pPr>
    </w:p>
    <w:p w:rsidR="00620361" w:rsidRPr="007A4754" w:rsidRDefault="00620361" w:rsidP="00620361">
      <w:pPr>
        <w:spacing w:after="0" w:line="240" w:lineRule="auto"/>
        <w:rPr>
          <w:rFonts w:ascii="Times New Roman" w:eastAsia="Times New Roman" w:hAnsi="Times New Roman"/>
          <w:lang w:eastAsia="lt-LT"/>
        </w:rPr>
      </w:pPr>
    </w:p>
    <w:p w:rsidR="00620361" w:rsidRPr="007A4754" w:rsidRDefault="00620361" w:rsidP="00620361">
      <w:pPr>
        <w:keepNext/>
        <w:spacing w:after="0" w:line="240" w:lineRule="auto"/>
        <w:ind w:left="567" w:hanging="567"/>
        <w:outlineLvl w:val="1"/>
        <w:rPr>
          <w:rFonts w:ascii="Times New Roman" w:eastAsia="Times New Roman" w:hAnsi="Times New Roman"/>
          <w:b/>
          <w:lang w:eastAsia="lt-LT"/>
        </w:rPr>
      </w:pPr>
      <w:r w:rsidRPr="007A4754">
        <w:rPr>
          <w:rFonts w:ascii="Times New Roman" w:eastAsia="Times New Roman" w:hAnsi="Times New Roman"/>
          <w:b/>
          <w:lang w:eastAsia="lt-LT"/>
        </w:rPr>
        <w:t>2.</w:t>
      </w:r>
      <w:r w:rsidRPr="007A4754">
        <w:rPr>
          <w:rFonts w:ascii="Times New Roman" w:eastAsia="Times New Roman" w:hAnsi="Times New Roman"/>
          <w:b/>
          <w:lang w:eastAsia="lt-LT"/>
        </w:rPr>
        <w:tab/>
        <w:t>Kas žinotina prieš vartojant LINCOCIN</w:t>
      </w:r>
    </w:p>
    <w:p w:rsidR="00620361" w:rsidRPr="007A4754" w:rsidRDefault="00620361" w:rsidP="00620361">
      <w:pPr>
        <w:spacing w:after="0" w:line="240" w:lineRule="auto"/>
        <w:rPr>
          <w:rFonts w:ascii="Times New Roman" w:eastAsia="Times New Roman" w:hAnsi="Times New Roman"/>
          <w:lang w:eastAsia="lt-LT"/>
        </w:rPr>
      </w:pPr>
    </w:p>
    <w:p w:rsidR="00620361" w:rsidRPr="007A4754" w:rsidRDefault="00620361" w:rsidP="00620361">
      <w:pPr>
        <w:keepNext/>
        <w:spacing w:after="0" w:line="240" w:lineRule="auto"/>
        <w:ind w:left="567" w:hanging="567"/>
        <w:outlineLvl w:val="2"/>
        <w:rPr>
          <w:rFonts w:ascii="Times New Roman" w:eastAsia="Times New Roman" w:hAnsi="Times New Roman"/>
          <w:b/>
          <w:lang w:eastAsia="lt-LT"/>
        </w:rPr>
      </w:pPr>
      <w:r w:rsidRPr="007A4754">
        <w:rPr>
          <w:rFonts w:ascii="Times New Roman" w:eastAsia="Times New Roman" w:hAnsi="Times New Roman"/>
          <w:b/>
          <w:lang w:eastAsia="lt-LT"/>
        </w:rPr>
        <w:t xml:space="preserve">LINCOCIN vartoti </w:t>
      </w:r>
      <w:r>
        <w:rPr>
          <w:rFonts w:ascii="Times New Roman" w:eastAsia="Times New Roman" w:hAnsi="Times New Roman"/>
          <w:b/>
          <w:lang w:eastAsia="lt-LT"/>
        </w:rPr>
        <w:t>draudžiama</w:t>
      </w:r>
      <w:r w:rsidRPr="007A4754">
        <w:rPr>
          <w:rFonts w:ascii="Times New Roman" w:eastAsia="Times New Roman" w:hAnsi="Times New Roman"/>
          <w:b/>
          <w:lang w:eastAsia="lt-LT"/>
        </w:rPr>
        <w:t>:</w:t>
      </w:r>
    </w:p>
    <w:p w:rsidR="00620361" w:rsidRPr="007A4754" w:rsidRDefault="00620361" w:rsidP="00620361">
      <w:pPr>
        <w:spacing w:after="0" w:line="240" w:lineRule="auto"/>
        <w:ind w:left="567" w:hanging="567"/>
        <w:rPr>
          <w:rFonts w:ascii="Times New Roman" w:eastAsia="Times New Roman" w:hAnsi="Times New Roman"/>
          <w:lang w:eastAsia="lt-LT"/>
        </w:rPr>
      </w:pPr>
      <w:r w:rsidRPr="007A4754">
        <w:rPr>
          <w:rFonts w:ascii="Times New Roman" w:eastAsia="Times New Roman" w:hAnsi="Times New Roman"/>
          <w:lang w:eastAsia="lt-LT"/>
        </w:rPr>
        <w:t>-</w:t>
      </w:r>
      <w:r w:rsidRPr="007A4754">
        <w:rPr>
          <w:rFonts w:ascii="Times New Roman" w:eastAsia="Times New Roman" w:hAnsi="Times New Roman"/>
          <w:lang w:eastAsia="lt-LT"/>
        </w:rPr>
        <w:tab/>
        <w:t>jeigu yra alergija linkomicinui, klindamicinui arba bet kuriai pagalbinei šio vaisto medžiagai (jos išvardytos 6 skyriuje);</w:t>
      </w:r>
    </w:p>
    <w:p w:rsidR="00620361" w:rsidRPr="007A4754" w:rsidRDefault="00620361" w:rsidP="00620361">
      <w:pPr>
        <w:spacing w:after="0" w:line="240" w:lineRule="auto"/>
        <w:ind w:left="567" w:hanging="567"/>
        <w:rPr>
          <w:rFonts w:ascii="Times New Roman" w:eastAsia="Times New Roman" w:hAnsi="Times New Roman"/>
          <w:lang w:eastAsia="lt-LT"/>
        </w:rPr>
      </w:pPr>
      <w:r w:rsidRPr="007A4754">
        <w:rPr>
          <w:rFonts w:ascii="Times New Roman" w:eastAsia="Times New Roman" w:hAnsi="Times New Roman"/>
          <w:lang w:eastAsia="lt-LT"/>
        </w:rPr>
        <w:t>-</w:t>
      </w:r>
      <w:r w:rsidRPr="007A4754">
        <w:rPr>
          <w:rFonts w:ascii="Times New Roman" w:eastAsia="Times New Roman" w:hAnsi="Times New Roman"/>
          <w:lang w:eastAsia="lt-LT"/>
        </w:rPr>
        <w:tab/>
        <w:t>žindymo laikotarpiu.</w:t>
      </w:r>
    </w:p>
    <w:p w:rsidR="00620361" w:rsidRPr="007A4754" w:rsidRDefault="00620361" w:rsidP="00620361">
      <w:pPr>
        <w:spacing w:after="0" w:line="240" w:lineRule="auto"/>
        <w:rPr>
          <w:rFonts w:ascii="Times New Roman" w:eastAsia="Times New Roman" w:hAnsi="Times New Roman"/>
          <w:lang w:eastAsia="lt-LT"/>
        </w:rPr>
      </w:pPr>
    </w:p>
    <w:p w:rsidR="00620361" w:rsidRPr="007A4754" w:rsidRDefault="00620361" w:rsidP="00620361">
      <w:pPr>
        <w:keepNext/>
        <w:spacing w:after="0" w:line="240" w:lineRule="auto"/>
        <w:ind w:left="567" w:hanging="567"/>
        <w:outlineLvl w:val="2"/>
        <w:rPr>
          <w:rFonts w:ascii="Times New Roman" w:eastAsia="Times New Roman" w:hAnsi="Times New Roman"/>
          <w:b/>
          <w:lang w:eastAsia="lt-LT"/>
        </w:rPr>
      </w:pPr>
      <w:r w:rsidRPr="007A4754">
        <w:rPr>
          <w:rFonts w:ascii="Times New Roman" w:eastAsia="Times New Roman" w:hAnsi="Times New Roman"/>
          <w:b/>
          <w:lang w:eastAsia="lt-LT"/>
        </w:rPr>
        <w:t>Įspėjimai ir atsargumo priemonės</w:t>
      </w:r>
    </w:p>
    <w:p w:rsidR="00620361" w:rsidRPr="007A4754" w:rsidRDefault="00620361" w:rsidP="00620361">
      <w:pPr>
        <w:keepNext/>
        <w:spacing w:after="0" w:line="240" w:lineRule="auto"/>
        <w:ind w:left="567" w:hanging="567"/>
        <w:outlineLvl w:val="2"/>
        <w:rPr>
          <w:rFonts w:ascii="Times New Roman" w:eastAsia="Times New Roman" w:hAnsi="Times New Roman"/>
          <w:b/>
          <w:lang w:eastAsia="lt-LT"/>
        </w:rPr>
      </w:pPr>
      <w:r w:rsidRPr="007A4754">
        <w:rPr>
          <w:rFonts w:ascii="Times New Roman" w:eastAsia="SimSun" w:hAnsi="Times New Roman"/>
          <w:lang w:eastAsia="zh-CN"/>
        </w:rPr>
        <w:t>Pasitarkite su gydytoju arba vaistininku, prieš pradėdami vartoti LINCOCIN.</w:t>
      </w:r>
      <w:r w:rsidRPr="007A4754">
        <w:rPr>
          <w:rFonts w:ascii="Times New Roman" w:eastAsia="SimSun" w:hAnsi="Times New Roman"/>
          <w:b/>
          <w:lang w:eastAsia="zh-CN"/>
        </w:rPr>
        <w:t xml:space="preserve"> </w:t>
      </w:r>
    </w:p>
    <w:p w:rsidR="00620361" w:rsidRPr="007A4754" w:rsidRDefault="00620361" w:rsidP="00620361">
      <w:pPr>
        <w:keepNext/>
        <w:spacing w:after="0" w:line="240" w:lineRule="auto"/>
        <w:ind w:left="567" w:hanging="567"/>
        <w:outlineLvl w:val="2"/>
        <w:rPr>
          <w:rFonts w:ascii="Times New Roman" w:eastAsia="Times New Roman" w:hAnsi="Times New Roman"/>
          <w:b/>
          <w:lang w:eastAsia="lt-LT"/>
        </w:rPr>
      </w:pPr>
      <w:r w:rsidRPr="007A4754">
        <w:rPr>
          <w:rFonts w:ascii="Times New Roman" w:eastAsia="Times New Roman" w:hAnsi="Times New Roman"/>
          <w:b/>
          <w:lang w:eastAsia="lt-LT"/>
        </w:rPr>
        <w:t>-</w:t>
      </w:r>
      <w:r w:rsidRPr="007A4754">
        <w:rPr>
          <w:rFonts w:ascii="Times New Roman" w:eastAsia="Times New Roman" w:hAnsi="Times New Roman"/>
          <w:b/>
          <w:lang w:eastAsia="lt-LT"/>
        </w:rPr>
        <w:tab/>
      </w:r>
      <w:r w:rsidRPr="007A4754">
        <w:rPr>
          <w:rFonts w:ascii="Times New Roman" w:eastAsia="Times New Roman" w:hAnsi="Times New Roman"/>
          <w:i/>
          <w:lang w:eastAsia="lt-LT"/>
        </w:rPr>
        <w:t xml:space="preserve">LINCOCIN, kaip ir dauguma kitų antibiotikų, gali sukelti gyvybei pavojingą storosios žarnos uždegimą (kolitą). Gydymas antibiotikais keičia normalią žarnyno florą ir gali sudaryti sąlygas per didelio klostridijų kiekio atsiradimui. </w:t>
      </w:r>
    </w:p>
    <w:p w:rsidR="00620361" w:rsidRPr="007A4754" w:rsidRDefault="00620361" w:rsidP="00620361">
      <w:pPr>
        <w:spacing w:after="0" w:line="240" w:lineRule="auto"/>
        <w:ind w:left="567" w:hanging="567"/>
        <w:rPr>
          <w:rFonts w:ascii="Times New Roman" w:eastAsia="Times New Roman" w:hAnsi="Times New Roman"/>
          <w:lang w:eastAsia="lt-LT"/>
        </w:rPr>
      </w:pPr>
      <w:r w:rsidRPr="007A4754">
        <w:rPr>
          <w:rFonts w:ascii="Times New Roman" w:eastAsia="Times New Roman" w:hAnsi="Times New Roman"/>
          <w:lang w:eastAsia="lt-LT"/>
        </w:rPr>
        <w:t>-</w:t>
      </w:r>
      <w:r w:rsidRPr="007A4754">
        <w:rPr>
          <w:rFonts w:ascii="Times New Roman" w:eastAsia="Times New Roman" w:hAnsi="Times New Roman"/>
          <w:lang w:eastAsia="lt-LT"/>
        </w:rPr>
        <w:tab/>
        <w:t>LINCOCIN blogai patenka į smegenis ir todėl netinka meningitui gydyti.</w:t>
      </w:r>
    </w:p>
    <w:p w:rsidR="00620361" w:rsidRDefault="00620361" w:rsidP="00620361">
      <w:pPr>
        <w:spacing w:line="240" w:lineRule="auto"/>
        <w:ind w:left="567" w:hanging="567"/>
        <w:rPr>
          <w:lang w:eastAsia="lt-LT"/>
        </w:rPr>
      </w:pPr>
      <w:r w:rsidRPr="007A4754">
        <w:rPr>
          <w:rFonts w:ascii="Times New Roman" w:eastAsia="Times New Roman" w:hAnsi="Times New Roman"/>
          <w:lang w:eastAsia="lt-LT"/>
        </w:rPr>
        <w:t>-</w:t>
      </w:r>
      <w:r w:rsidRPr="007A4754">
        <w:rPr>
          <w:rFonts w:ascii="Times New Roman" w:eastAsia="Times New Roman" w:hAnsi="Times New Roman"/>
          <w:lang w:eastAsia="lt-LT"/>
        </w:rPr>
        <w:tab/>
        <w:t>Jei LINCOCIN vartojamas ilgą laiką, reikia tirti kepenų ir inkstų funkcijas. Vartojant linkomiciną, gali įsivyrauti nejautrūs mikroorganizmai, ypač mieliniai grybeliai.</w:t>
      </w:r>
    </w:p>
    <w:p w:rsidR="00620361" w:rsidRPr="00F44C19" w:rsidRDefault="00620361" w:rsidP="00620361">
      <w:pPr>
        <w:spacing w:after="0" w:line="240" w:lineRule="auto"/>
        <w:ind w:left="567" w:hanging="567"/>
        <w:rPr>
          <w:rFonts w:ascii="Times New Roman" w:eastAsia="Times New Roman" w:hAnsi="Times New Roman"/>
          <w:lang w:eastAsia="lt-LT"/>
        </w:rPr>
      </w:pPr>
      <w:r w:rsidRPr="00F44C19">
        <w:rPr>
          <w:rFonts w:ascii="Times New Roman" w:hAnsi="Times New Roman"/>
          <w:lang w:eastAsia="lt-LT"/>
        </w:rPr>
        <w:lastRenderedPageBreak/>
        <w:t>-</w:t>
      </w:r>
      <w:r w:rsidRPr="00F44C19">
        <w:rPr>
          <w:rFonts w:ascii="Times New Roman" w:hAnsi="Times New Roman"/>
          <w:lang w:eastAsia="lt-LT"/>
        </w:rPr>
        <w:tab/>
        <w:t>Jeigu pasireiškia sunkių odos reakcijų, nedelsdami kreipkitės į gydytoją</w:t>
      </w:r>
      <w:r>
        <w:rPr>
          <w:rFonts w:ascii="Times New Roman" w:hAnsi="Times New Roman"/>
          <w:lang w:eastAsia="lt-LT"/>
        </w:rPr>
        <w:t xml:space="preserve"> (žr. 4 skyrių „Galimas šalutinis poveikis“)</w:t>
      </w:r>
      <w:r w:rsidRPr="00F44C19">
        <w:rPr>
          <w:rFonts w:ascii="Times New Roman" w:hAnsi="Times New Roman"/>
          <w:lang w:eastAsia="lt-LT"/>
        </w:rPr>
        <w:t>.</w:t>
      </w:r>
    </w:p>
    <w:p w:rsidR="00620361" w:rsidRPr="007A4754" w:rsidRDefault="00620361" w:rsidP="00620361">
      <w:pPr>
        <w:spacing w:after="0" w:line="240" w:lineRule="auto"/>
        <w:rPr>
          <w:rFonts w:ascii="Times New Roman" w:eastAsia="Times New Roman" w:hAnsi="Times New Roman"/>
          <w:lang w:eastAsia="lt-LT"/>
        </w:rPr>
      </w:pPr>
    </w:p>
    <w:p w:rsidR="00620361" w:rsidRPr="007A4754" w:rsidRDefault="00620361" w:rsidP="00620361">
      <w:pPr>
        <w:keepNext/>
        <w:spacing w:after="0" w:line="240" w:lineRule="auto"/>
        <w:ind w:left="567" w:hanging="567"/>
        <w:outlineLvl w:val="2"/>
        <w:rPr>
          <w:rFonts w:ascii="Times New Roman" w:eastAsia="Times New Roman" w:hAnsi="Times New Roman"/>
          <w:b/>
          <w:lang w:eastAsia="lt-LT"/>
        </w:rPr>
      </w:pPr>
      <w:r w:rsidRPr="007A4754">
        <w:rPr>
          <w:rFonts w:ascii="Times New Roman" w:eastAsia="Times New Roman" w:hAnsi="Times New Roman"/>
          <w:b/>
          <w:lang w:eastAsia="lt-LT"/>
        </w:rPr>
        <w:t>Kiti vaistai ir LINCOCIN</w:t>
      </w:r>
    </w:p>
    <w:p w:rsidR="00620361" w:rsidRPr="007A4754" w:rsidRDefault="00620361" w:rsidP="00620361">
      <w:pPr>
        <w:widowControl w:val="0"/>
        <w:spacing w:after="0" w:line="240" w:lineRule="auto"/>
        <w:rPr>
          <w:rFonts w:ascii="Times New Roman" w:eastAsia="Times New Roman" w:hAnsi="Times New Roman"/>
          <w:i/>
          <w:lang w:eastAsia="lt-LT"/>
        </w:rPr>
      </w:pPr>
      <w:r w:rsidRPr="007A4754">
        <w:rPr>
          <w:rFonts w:ascii="Times New Roman" w:eastAsia="Times New Roman" w:hAnsi="Times New Roman"/>
          <w:lang w:eastAsia="lt-LT"/>
        </w:rPr>
        <w:t>Jeigu vartojate arba neseniai vartojote kitų vaistų</w:t>
      </w:r>
      <w:r w:rsidRPr="007A4754">
        <w:rPr>
          <w:rFonts w:ascii="Times New Roman" w:eastAsia="Times New Roman" w:hAnsi="Times New Roman"/>
          <w:noProof/>
          <w:snapToGrid w:val="0"/>
        </w:rPr>
        <w:t xml:space="preserve"> </w:t>
      </w:r>
      <w:r w:rsidRPr="007A4754">
        <w:rPr>
          <w:rFonts w:ascii="Times New Roman" w:eastAsia="Times New Roman" w:hAnsi="Times New Roman"/>
          <w:lang w:eastAsia="lt-LT"/>
        </w:rPr>
        <w:t>arba dėl to nesate tikri, apie tai pasakykite gydytojui arba vaistininkui</w:t>
      </w:r>
      <w:r w:rsidRPr="007A4754">
        <w:rPr>
          <w:rFonts w:ascii="Times New Roman" w:eastAsia="Times New Roman" w:hAnsi="Times New Roman"/>
          <w:i/>
          <w:lang w:eastAsia="lt-LT"/>
        </w:rPr>
        <w:t>.</w:t>
      </w:r>
    </w:p>
    <w:p w:rsidR="00620361" w:rsidRPr="007A4754" w:rsidRDefault="00620361" w:rsidP="00620361">
      <w:pPr>
        <w:widowControl w:val="0"/>
        <w:spacing w:after="0" w:line="240" w:lineRule="auto"/>
        <w:rPr>
          <w:rFonts w:ascii="Times New Roman" w:eastAsia="Times New Roman" w:hAnsi="Times New Roman"/>
          <w:lang w:eastAsia="lt-LT"/>
        </w:rPr>
      </w:pPr>
    </w:p>
    <w:p w:rsidR="00620361" w:rsidRPr="007A4754" w:rsidRDefault="00620361" w:rsidP="00620361">
      <w:pPr>
        <w:widowControl w:val="0"/>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Nustatyta, kad linkomicinas blokuoja nervinio impulso perdavimą raumenims, todėl gali sustiprinti kitų nervo raumens jungties blokatorių poveikį. Atsižvelgiant į tai, kartu su tokia</w:t>
      </w:r>
      <w:r>
        <w:rPr>
          <w:rFonts w:ascii="Times New Roman" w:eastAsia="Times New Roman" w:hAnsi="Times New Roman"/>
          <w:lang w:eastAsia="lt-LT"/>
        </w:rPr>
        <w:t>i</w:t>
      </w:r>
      <w:r w:rsidRPr="007A4754">
        <w:rPr>
          <w:rFonts w:ascii="Times New Roman" w:eastAsia="Times New Roman" w:hAnsi="Times New Roman"/>
          <w:lang w:eastAsia="lt-LT"/>
        </w:rPr>
        <w:t>s vaistais linkomiciną reikia vartoti atsargiai.</w:t>
      </w:r>
    </w:p>
    <w:p w:rsidR="00620361" w:rsidRPr="007A4754" w:rsidRDefault="00620361" w:rsidP="00620361">
      <w:pPr>
        <w:widowControl w:val="0"/>
        <w:spacing w:after="0" w:line="240" w:lineRule="auto"/>
        <w:rPr>
          <w:rFonts w:ascii="Times New Roman" w:eastAsia="Times New Roman" w:hAnsi="Times New Roman"/>
          <w:lang w:eastAsia="lt-LT"/>
        </w:rPr>
      </w:pPr>
    </w:p>
    <w:p w:rsidR="00620361" w:rsidRPr="007A4754" w:rsidRDefault="00620361" w:rsidP="00620361">
      <w:pPr>
        <w:widowControl w:val="0"/>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Kaolinas slopina linkomicino pasisavinimą iš virškinimo trakto, taigi, jeigu šiuos vaistus reikia vartoti kartu, rekomenduojama kaoliną išgerti bent 2 valandas prieš linkomiciną.</w:t>
      </w:r>
    </w:p>
    <w:p w:rsidR="00620361" w:rsidRPr="007A4754" w:rsidRDefault="00620361" w:rsidP="00620361">
      <w:pPr>
        <w:spacing w:after="0" w:line="240" w:lineRule="auto"/>
        <w:rPr>
          <w:rFonts w:ascii="Times New Roman" w:eastAsia="Times New Roman" w:hAnsi="Times New Roman"/>
          <w:lang w:eastAsia="lt-LT"/>
        </w:rPr>
      </w:pPr>
    </w:p>
    <w:p w:rsidR="00620361" w:rsidRPr="007A4754" w:rsidRDefault="00620361" w:rsidP="00620361">
      <w:pPr>
        <w:keepNext/>
        <w:spacing w:after="0" w:line="240" w:lineRule="auto"/>
        <w:ind w:left="567" w:hanging="567"/>
        <w:outlineLvl w:val="2"/>
        <w:rPr>
          <w:rFonts w:ascii="Times New Roman" w:eastAsia="Times New Roman" w:hAnsi="Times New Roman"/>
          <w:b/>
          <w:lang w:eastAsia="lt-LT"/>
        </w:rPr>
      </w:pPr>
      <w:r w:rsidRPr="007A4754">
        <w:rPr>
          <w:rFonts w:ascii="Times New Roman" w:eastAsia="Times New Roman" w:hAnsi="Times New Roman"/>
          <w:b/>
          <w:lang w:eastAsia="lt-LT"/>
        </w:rPr>
        <w:t>Nėštumas</w:t>
      </w:r>
      <w:r>
        <w:rPr>
          <w:rFonts w:ascii="Times New Roman" w:eastAsia="Times New Roman" w:hAnsi="Times New Roman"/>
          <w:b/>
          <w:lang w:eastAsia="lt-LT"/>
        </w:rPr>
        <w:t xml:space="preserve"> ir</w:t>
      </w:r>
      <w:r w:rsidRPr="007A4754">
        <w:rPr>
          <w:rFonts w:ascii="Times New Roman" w:eastAsia="Times New Roman" w:hAnsi="Times New Roman"/>
          <w:b/>
          <w:lang w:eastAsia="lt-LT"/>
        </w:rPr>
        <w:t xml:space="preserve"> žindymo laikotarpis</w:t>
      </w:r>
    </w:p>
    <w:p w:rsidR="00620361" w:rsidRPr="007A4754" w:rsidRDefault="00620361" w:rsidP="00620361">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Jeigu esate nėščia, žindote kūdikį, manote, kad galbūt esate nėščia, arba planuojate pastoti, tai prieš vartodama šį vaistą, pasitarkite su gydytoju arba vaistininku.</w:t>
      </w:r>
    </w:p>
    <w:p w:rsidR="00620361" w:rsidRPr="007A4754" w:rsidRDefault="00620361" w:rsidP="00620361">
      <w:pPr>
        <w:spacing w:after="0" w:line="240" w:lineRule="auto"/>
        <w:rPr>
          <w:rFonts w:ascii="Times New Roman" w:eastAsia="Times New Roman" w:hAnsi="Times New Roman"/>
          <w:lang w:eastAsia="lt-LT"/>
        </w:rPr>
      </w:pPr>
    </w:p>
    <w:p w:rsidR="00620361" w:rsidRPr="007A4754" w:rsidRDefault="00620361" w:rsidP="00620361">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Linkomicinas prasiskverbia pro placentą ir jo koncentracija vaisiaus serume yra apytikriai lygi 25 </w:t>
      </w:r>
      <w:r w:rsidRPr="007A4754">
        <w:rPr>
          <w:rFonts w:ascii="Times New Roman" w:eastAsia="Times New Roman" w:hAnsi="Times New Roman"/>
          <w:lang w:eastAsia="lt-LT"/>
        </w:rPr>
        <w:sym w:font="Symbol" w:char="F025"/>
      </w:r>
      <w:r w:rsidRPr="007A4754">
        <w:rPr>
          <w:rFonts w:ascii="Times New Roman" w:eastAsia="Times New Roman" w:hAnsi="Times New Roman"/>
          <w:lang w:eastAsia="lt-LT"/>
        </w:rPr>
        <w:t xml:space="preserve"> motinos serume esančios koncentracijos. LINCOCIN nėštumo metu vartoti galima</w:t>
      </w:r>
      <w:r>
        <w:rPr>
          <w:rFonts w:ascii="Times New Roman" w:eastAsia="Times New Roman" w:hAnsi="Times New Roman"/>
          <w:lang w:eastAsia="lt-LT"/>
        </w:rPr>
        <w:t xml:space="preserve"> tik paskyrus gydytojui</w:t>
      </w:r>
      <w:r w:rsidRPr="007A4754">
        <w:rPr>
          <w:rFonts w:ascii="Times New Roman" w:eastAsia="Times New Roman" w:hAnsi="Times New Roman"/>
          <w:lang w:eastAsia="lt-LT"/>
        </w:rPr>
        <w:t>.</w:t>
      </w:r>
    </w:p>
    <w:p w:rsidR="00620361" w:rsidRPr="007A4754" w:rsidRDefault="00620361" w:rsidP="00620361">
      <w:pPr>
        <w:spacing w:after="0" w:line="240" w:lineRule="auto"/>
        <w:rPr>
          <w:rFonts w:ascii="Times New Roman" w:eastAsia="Times New Roman" w:hAnsi="Times New Roman"/>
          <w:lang w:eastAsia="lt-LT"/>
        </w:rPr>
      </w:pPr>
    </w:p>
    <w:p w:rsidR="00620361" w:rsidRPr="007A4754" w:rsidRDefault="00620361" w:rsidP="00620361">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 xml:space="preserve">Linkomicino </w:t>
      </w:r>
      <w:r>
        <w:rPr>
          <w:rFonts w:ascii="Times New Roman" w:eastAsia="Times New Roman" w:hAnsi="Times New Roman"/>
          <w:lang w:eastAsia="lt-LT"/>
        </w:rPr>
        <w:t>patenka</w:t>
      </w:r>
      <w:r w:rsidRPr="007A4754">
        <w:rPr>
          <w:rFonts w:ascii="Times New Roman" w:eastAsia="Times New Roman" w:hAnsi="Times New Roman"/>
          <w:lang w:eastAsia="lt-LT"/>
        </w:rPr>
        <w:t xml:space="preserve"> į motinos pieną. LINCOCIN žindymo laikotarpiu vartoti negalima.</w:t>
      </w:r>
    </w:p>
    <w:p w:rsidR="00620361" w:rsidRPr="007A4754" w:rsidRDefault="00620361" w:rsidP="00620361">
      <w:pPr>
        <w:spacing w:after="0" w:line="240" w:lineRule="auto"/>
        <w:rPr>
          <w:rFonts w:ascii="Times New Roman" w:eastAsia="Times New Roman" w:hAnsi="Times New Roman"/>
          <w:lang w:eastAsia="lt-LT"/>
        </w:rPr>
      </w:pPr>
    </w:p>
    <w:p w:rsidR="00620361" w:rsidRPr="007A4754" w:rsidRDefault="00620361" w:rsidP="00620361">
      <w:pPr>
        <w:spacing w:after="0" w:line="240" w:lineRule="auto"/>
        <w:rPr>
          <w:rFonts w:ascii="Times New Roman" w:eastAsia="Times New Roman" w:hAnsi="Times New Roman"/>
          <w:b/>
          <w:lang w:eastAsia="lt-LT"/>
        </w:rPr>
      </w:pPr>
      <w:r w:rsidRPr="007A4754">
        <w:rPr>
          <w:rFonts w:ascii="Times New Roman" w:eastAsia="Times New Roman" w:hAnsi="Times New Roman"/>
          <w:b/>
          <w:lang w:eastAsia="lt-LT"/>
        </w:rPr>
        <w:t>LINCOCIN sudėtyje yra laktozės</w:t>
      </w:r>
      <w:r>
        <w:rPr>
          <w:rFonts w:ascii="Times New Roman" w:eastAsia="Times New Roman" w:hAnsi="Times New Roman"/>
          <w:b/>
          <w:lang w:eastAsia="lt-LT"/>
        </w:rPr>
        <w:t xml:space="preserve"> ir natrio</w:t>
      </w:r>
    </w:p>
    <w:p w:rsidR="00620361" w:rsidRPr="007A4754" w:rsidRDefault="00620361" w:rsidP="00620361">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Jeigu gydytojas Jums yra sakęs, kad netoleruojate kokių nors angliavandenių, kreipkitės į jį prieš pradėdami vartoti šį vaistą.</w:t>
      </w:r>
    </w:p>
    <w:p w:rsidR="00620361" w:rsidRPr="00C768CE" w:rsidRDefault="00620361" w:rsidP="00620361">
      <w:pPr>
        <w:spacing w:after="0" w:line="240" w:lineRule="auto"/>
        <w:ind w:right="-2"/>
        <w:rPr>
          <w:rFonts w:ascii="Times New Roman" w:eastAsia="Times New Roman" w:hAnsi="Times New Roman"/>
          <w:noProof/>
          <w:color w:val="000000"/>
        </w:rPr>
      </w:pPr>
      <w:r w:rsidRPr="00C768CE">
        <w:rPr>
          <w:rFonts w:ascii="Times New Roman" w:hAnsi="Times New Roman"/>
        </w:rPr>
        <w:t xml:space="preserve">Šio </w:t>
      </w:r>
      <w:r w:rsidRPr="00B57E99">
        <w:rPr>
          <w:rFonts w:ascii="Times New Roman" w:eastAsia="Times New Roman" w:hAnsi="Times New Roman"/>
          <w:noProof/>
          <w:color w:val="000000"/>
        </w:rPr>
        <w:t>vaist</w:t>
      </w:r>
      <w:r>
        <w:rPr>
          <w:rFonts w:ascii="Times New Roman" w:eastAsia="Times New Roman" w:hAnsi="Times New Roman"/>
          <w:noProof/>
          <w:color w:val="000000"/>
        </w:rPr>
        <w:t>o</w:t>
      </w:r>
      <w:r w:rsidRPr="00C768CE">
        <w:rPr>
          <w:rFonts w:ascii="Times New Roman" w:hAnsi="Times New Roman"/>
        </w:rPr>
        <w:t xml:space="preserve"> </w:t>
      </w:r>
      <w:r>
        <w:rPr>
          <w:rFonts w:ascii="Times New Roman" w:hAnsi="Times New Roman"/>
        </w:rPr>
        <w:t>vienoje kapsulėje</w:t>
      </w:r>
      <w:r w:rsidRPr="00C768CE">
        <w:rPr>
          <w:rFonts w:ascii="Times New Roman" w:hAnsi="Times New Roman"/>
        </w:rPr>
        <w:t xml:space="preserve"> yra mažiau kaip 1 mmol (23 mg) natrio, t.y. jis beveik neturi reikšmės.</w:t>
      </w:r>
    </w:p>
    <w:p w:rsidR="00620361" w:rsidRPr="007A4754" w:rsidRDefault="00620361" w:rsidP="00620361">
      <w:pPr>
        <w:spacing w:after="0" w:line="240" w:lineRule="auto"/>
        <w:rPr>
          <w:rFonts w:ascii="Times New Roman" w:eastAsia="Times New Roman" w:hAnsi="Times New Roman"/>
          <w:lang w:eastAsia="lt-LT"/>
        </w:rPr>
      </w:pPr>
    </w:p>
    <w:p w:rsidR="00620361" w:rsidRPr="007A4754" w:rsidRDefault="00620361" w:rsidP="00620361">
      <w:pPr>
        <w:keepNext/>
        <w:spacing w:after="0" w:line="240" w:lineRule="auto"/>
        <w:ind w:left="567" w:hanging="567"/>
        <w:outlineLvl w:val="1"/>
        <w:rPr>
          <w:rFonts w:ascii="Times New Roman" w:eastAsia="Times New Roman" w:hAnsi="Times New Roman"/>
          <w:b/>
          <w:lang w:eastAsia="lt-LT"/>
        </w:rPr>
      </w:pPr>
      <w:r w:rsidRPr="007A4754">
        <w:rPr>
          <w:rFonts w:ascii="Times New Roman" w:eastAsia="Times New Roman" w:hAnsi="Times New Roman"/>
          <w:b/>
          <w:lang w:eastAsia="lt-LT"/>
        </w:rPr>
        <w:t>3.</w:t>
      </w:r>
      <w:r w:rsidRPr="007A4754">
        <w:rPr>
          <w:rFonts w:ascii="Times New Roman" w:eastAsia="Times New Roman" w:hAnsi="Times New Roman"/>
          <w:b/>
          <w:lang w:eastAsia="lt-LT"/>
        </w:rPr>
        <w:tab/>
        <w:t>Kaip vartoti LINCOCIN</w:t>
      </w:r>
    </w:p>
    <w:p w:rsidR="00620361" w:rsidRPr="007A4754" w:rsidRDefault="00620361" w:rsidP="00620361">
      <w:pPr>
        <w:spacing w:after="0" w:line="240" w:lineRule="auto"/>
        <w:rPr>
          <w:rFonts w:ascii="Times New Roman" w:eastAsia="Times New Roman" w:hAnsi="Times New Roman"/>
          <w:lang w:eastAsia="lt-LT"/>
        </w:rPr>
      </w:pPr>
    </w:p>
    <w:p w:rsidR="00620361" w:rsidRPr="007A4754" w:rsidRDefault="00620361" w:rsidP="00620361">
      <w:pPr>
        <w:widowControl w:val="0"/>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Visada vartokite šį vaistą</w:t>
      </w:r>
      <w:r w:rsidRPr="007A4754" w:rsidDel="00635A25">
        <w:rPr>
          <w:rFonts w:ascii="Times New Roman" w:eastAsia="Times New Roman" w:hAnsi="Times New Roman"/>
          <w:lang w:eastAsia="lt-LT"/>
        </w:rPr>
        <w:t xml:space="preserve"> </w:t>
      </w:r>
      <w:r w:rsidRPr="007A4754">
        <w:rPr>
          <w:rFonts w:ascii="Times New Roman" w:eastAsia="Times New Roman" w:hAnsi="Times New Roman"/>
          <w:lang w:eastAsia="lt-LT"/>
        </w:rPr>
        <w:t>tiksliai kaip nurodė gydytojas. Jeigu abejojate, kreipkitės į gydytoją arba vaistininką.</w:t>
      </w:r>
    </w:p>
    <w:p w:rsidR="00620361" w:rsidRPr="007A4754" w:rsidRDefault="00620361" w:rsidP="00620361">
      <w:pPr>
        <w:spacing w:after="0" w:line="240" w:lineRule="auto"/>
        <w:rPr>
          <w:rFonts w:ascii="Times New Roman" w:eastAsia="Times New Roman" w:hAnsi="Times New Roman"/>
          <w:lang w:eastAsia="lt-LT"/>
        </w:rPr>
      </w:pPr>
    </w:p>
    <w:p w:rsidR="00620361" w:rsidRPr="007A4754" w:rsidRDefault="00620361" w:rsidP="00620361">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Dozę ir gydymo trukmę nustato gydytojas. Dozė ir vartojimo būdas priklauso nuo infekcinės ligos sunkumo, paciento būklės ir ligą sukėlusių mikroorganizmų jautrumo šiam vaistui. Jeigu reikia, šis vaistas gali būti vartojamas kartu su kitais antibiotikais.</w:t>
      </w:r>
    </w:p>
    <w:p w:rsidR="00620361" w:rsidRPr="007A4754" w:rsidRDefault="00620361" w:rsidP="00620361">
      <w:pPr>
        <w:widowControl w:val="0"/>
        <w:spacing w:after="0" w:line="240" w:lineRule="auto"/>
        <w:rPr>
          <w:rFonts w:ascii="Times New Roman" w:eastAsia="Times New Roman" w:hAnsi="Times New Roman"/>
          <w:b/>
          <w:bCs/>
          <w:i/>
          <w:u w:val="single"/>
          <w:lang w:eastAsia="lt-LT"/>
        </w:rPr>
      </w:pPr>
    </w:p>
    <w:p w:rsidR="00620361" w:rsidRPr="007A4754" w:rsidRDefault="00620361" w:rsidP="00620361">
      <w:pPr>
        <w:widowControl w:val="0"/>
        <w:spacing w:after="0" w:line="240" w:lineRule="auto"/>
        <w:rPr>
          <w:rFonts w:ascii="Times New Roman" w:eastAsia="Times New Roman" w:hAnsi="Times New Roman"/>
          <w:lang w:eastAsia="lt-LT"/>
        </w:rPr>
      </w:pPr>
      <w:r w:rsidRPr="00EF5BF7">
        <w:rPr>
          <w:rFonts w:ascii="Times New Roman" w:eastAsia="Times New Roman" w:hAnsi="Times New Roman"/>
          <w:bCs/>
          <w:lang w:eastAsia="lt-LT"/>
        </w:rPr>
        <w:t>Suaugusiesiems</w:t>
      </w:r>
      <w:r w:rsidRPr="004E4EAC">
        <w:rPr>
          <w:rFonts w:ascii="Times New Roman" w:eastAsia="Times New Roman" w:hAnsi="Times New Roman"/>
          <w:bCs/>
          <w:i/>
          <w:lang w:eastAsia="lt-LT"/>
        </w:rPr>
        <w:t xml:space="preserve"> </w:t>
      </w:r>
      <w:r w:rsidRPr="00EF5BF7">
        <w:rPr>
          <w:rFonts w:ascii="Times New Roman" w:eastAsia="Times New Roman" w:hAnsi="Times New Roman"/>
          <w:bCs/>
          <w:lang w:eastAsia="lt-LT"/>
        </w:rPr>
        <w:t xml:space="preserve">vartojama po 1 </w:t>
      </w:r>
      <w:r>
        <w:rPr>
          <w:rFonts w:ascii="Times New Roman" w:eastAsia="Times New Roman" w:hAnsi="Times New Roman"/>
          <w:bCs/>
          <w:lang w:eastAsia="lt-LT"/>
        </w:rPr>
        <w:t>kapsulę</w:t>
      </w:r>
      <w:r w:rsidRPr="00EF5BF7">
        <w:rPr>
          <w:rFonts w:ascii="Times New Roman" w:eastAsia="Times New Roman" w:hAnsi="Times New Roman"/>
          <w:bCs/>
          <w:i/>
          <w:lang w:eastAsia="lt-LT"/>
        </w:rPr>
        <w:t xml:space="preserve"> </w:t>
      </w:r>
      <w:r w:rsidRPr="004E4EAC">
        <w:rPr>
          <w:rFonts w:ascii="Times New Roman" w:eastAsia="Times New Roman" w:hAnsi="Times New Roman"/>
          <w:lang w:eastAsia="lt-LT"/>
        </w:rPr>
        <w:t xml:space="preserve">tris kartus per parą (kas 8 val.), jeigu infekcinė liga sunki </w:t>
      </w:r>
      <w:r w:rsidRPr="00D977A0">
        <w:rPr>
          <w:rFonts w:ascii="Times New Roman" w:eastAsia="Times New Roman" w:hAnsi="Times New Roman"/>
          <w:lang w:eastAsia="lt-LT"/>
        </w:rPr>
        <w:t xml:space="preserve">– po 1 </w:t>
      </w:r>
      <w:r>
        <w:rPr>
          <w:rFonts w:ascii="Times New Roman" w:eastAsia="Times New Roman" w:hAnsi="Times New Roman"/>
          <w:lang w:eastAsia="lt-LT"/>
        </w:rPr>
        <w:t>kapsulę</w:t>
      </w:r>
      <w:r w:rsidRPr="00D977A0">
        <w:rPr>
          <w:rFonts w:ascii="Times New Roman" w:eastAsia="Times New Roman" w:hAnsi="Times New Roman"/>
          <w:lang w:eastAsia="lt-LT"/>
        </w:rPr>
        <w:t xml:space="preserve"> keturis kartus per parą (kas 6 val.).</w:t>
      </w:r>
    </w:p>
    <w:p w:rsidR="00620361" w:rsidRPr="007A4754" w:rsidRDefault="00620361" w:rsidP="00620361">
      <w:pPr>
        <w:widowControl w:val="0"/>
        <w:spacing w:after="0" w:line="240" w:lineRule="auto"/>
        <w:rPr>
          <w:rFonts w:ascii="Times New Roman" w:eastAsia="Times New Roman" w:hAnsi="Times New Roman"/>
          <w:lang w:eastAsia="lt-LT"/>
        </w:rPr>
      </w:pPr>
    </w:p>
    <w:p w:rsidR="00620361" w:rsidRPr="007A4754" w:rsidRDefault="00620361" w:rsidP="00620361">
      <w:pPr>
        <w:widowControl w:val="0"/>
        <w:spacing w:after="0" w:line="240" w:lineRule="auto"/>
        <w:rPr>
          <w:rFonts w:ascii="Times New Roman" w:eastAsia="Times New Roman" w:hAnsi="Times New Roman"/>
          <w:lang w:eastAsia="lt-LT"/>
        </w:rPr>
      </w:pPr>
      <w:r w:rsidRPr="00EF5BF7">
        <w:rPr>
          <w:rFonts w:ascii="Times New Roman" w:eastAsia="Times New Roman" w:hAnsi="Times New Roman"/>
          <w:bCs/>
          <w:lang w:eastAsia="lt-LT"/>
        </w:rPr>
        <w:t>Vyresniems nei vieno mėnesio kūdikiams ir vaikams</w:t>
      </w:r>
      <w:r>
        <w:rPr>
          <w:rFonts w:ascii="Times New Roman" w:eastAsia="Times New Roman" w:hAnsi="Times New Roman"/>
          <w:lang w:eastAsia="lt-LT"/>
        </w:rPr>
        <w:t xml:space="preserve"> p</w:t>
      </w:r>
      <w:r w:rsidRPr="007A4754">
        <w:rPr>
          <w:rFonts w:ascii="Times New Roman" w:eastAsia="Times New Roman" w:hAnsi="Times New Roman"/>
          <w:lang w:eastAsia="lt-LT"/>
        </w:rPr>
        <w:t xml:space="preserve">aros dozė </w:t>
      </w:r>
      <w:r>
        <w:rPr>
          <w:rFonts w:ascii="Times New Roman" w:eastAsia="Times New Roman" w:hAnsi="Times New Roman"/>
          <w:lang w:eastAsia="lt-LT"/>
        </w:rPr>
        <w:t>yra</w:t>
      </w:r>
      <w:r w:rsidRPr="007A4754">
        <w:rPr>
          <w:rFonts w:ascii="Times New Roman" w:eastAsia="Times New Roman" w:hAnsi="Times New Roman"/>
          <w:lang w:eastAsia="lt-LT"/>
        </w:rPr>
        <w:t xml:space="preserve"> 30 mg/kg kūno svorio (</w:t>
      </w:r>
      <w:r>
        <w:rPr>
          <w:rFonts w:ascii="Times New Roman" w:eastAsia="Times New Roman" w:hAnsi="Times New Roman"/>
          <w:lang w:eastAsia="lt-LT"/>
        </w:rPr>
        <w:t xml:space="preserve">šią dozę reikia </w:t>
      </w:r>
      <w:r w:rsidRPr="007A4754">
        <w:rPr>
          <w:rFonts w:ascii="Times New Roman" w:eastAsia="Times New Roman" w:hAnsi="Times New Roman"/>
          <w:lang w:eastAsia="lt-LT"/>
        </w:rPr>
        <w:t>padalyti į 3 ar 4 lygias dalis ir suvartoti per 3 ar 4 kartus).</w:t>
      </w:r>
      <w:r>
        <w:rPr>
          <w:rFonts w:ascii="Times New Roman" w:eastAsia="Times New Roman" w:hAnsi="Times New Roman"/>
          <w:lang w:eastAsia="lt-LT"/>
        </w:rPr>
        <w:t xml:space="preserve"> Jeigu </w:t>
      </w:r>
      <w:r w:rsidRPr="007A4754">
        <w:rPr>
          <w:rFonts w:ascii="Times New Roman" w:eastAsia="Times New Roman" w:hAnsi="Times New Roman"/>
          <w:lang w:eastAsia="lt-LT"/>
        </w:rPr>
        <w:t>infekcinė liga</w:t>
      </w:r>
      <w:r>
        <w:rPr>
          <w:rFonts w:ascii="Times New Roman" w:eastAsia="Times New Roman" w:hAnsi="Times New Roman"/>
          <w:lang w:eastAsia="lt-LT"/>
        </w:rPr>
        <w:t xml:space="preserve"> sunki,</w:t>
      </w:r>
      <w:r w:rsidRPr="007A4754">
        <w:rPr>
          <w:rFonts w:ascii="Times New Roman" w:eastAsia="Times New Roman" w:hAnsi="Times New Roman"/>
          <w:lang w:eastAsia="lt-LT"/>
        </w:rPr>
        <w:t xml:space="preserve"> paros dozė</w:t>
      </w:r>
      <w:r>
        <w:rPr>
          <w:rFonts w:ascii="Times New Roman" w:eastAsia="Times New Roman" w:hAnsi="Times New Roman"/>
          <w:lang w:eastAsia="lt-LT"/>
        </w:rPr>
        <w:t xml:space="preserve"> yra</w:t>
      </w:r>
      <w:r w:rsidRPr="007A4754">
        <w:rPr>
          <w:rFonts w:ascii="Times New Roman" w:eastAsia="Times New Roman" w:hAnsi="Times New Roman"/>
          <w:lang w:eastAsia="lt-LT"/>
        </w:rPr>
        <w:t xml:space="preserve"> 60 mg/kg kūno svorio (</w:t>
      </w:r>
      <w:r>
        <w:rPr>
          <w:rFonts w:ascii="Times New Roman" w:eastAsia="Times New Roman" w:hAnsi="Times New Roman"/>
          <w:lang w:eastAsia="lt-LT"/>
        </w:rPr>
        <w:t xml:space="preserve">šią dozę reikia </w:t>
      </w:r>
      <w:r w:rsidRPr="007A4754">
        <w:rPr>
          <w:rFonts w:ascii="Times New Roman" w:eastAsia="Times New Roman" w:hAnsi="Times New Roman"/>
          <w:lang w:eastAsia="lt-LT"/>
        </w:rPr>
        <w:t>padalyti į 3 ar 4 lygias dalis ir suvartoti per 3 ar 4 kartus).</w:t>
      </w:r>
    </w:p>
    <w:p w:rsidR="00620361" w:rsidRPr="007A4754" w:rsidRDefault="00620361" w:rsidP="00620361">
      <w:pPr>
        <w:widowControl w:val="0"/>
        <w:spacing w:after="0" w:line="240" w:lineRule="auto"/>
        <w:rPr>
          <w:rFonts w:ascii="Times New Roman" w:eastAsia="Times New Roman" w:hAnsi="Times New Roman"/>
          <w:lang w:eastAsia="lt-LT"/>
        </w:rPr>
      </w:pPr>
    </w:p>
    <w:p w:rsidR="00620361" w:rsidRPr="007A4754" w:rsidRDefault="00620361" w:rsidP="00620361">
      <w:pPr>
        <w:widowControl w:val="0"/>
        <w:spacing w:after="0" w:line="240" w:lineRule="auto"/>
        <w:rPr>
          <w:rFonts w:ascii="Times New Roman" w:eastAsia="Times New Roman" w:hAnsi="Times New Roman"/>
          <w:lang w:eastAsia="lt-LT"/>
        </w:rPr>
      </w:pPr>
      <w:r w:rsidRPr="005D213A">
        <w:rPr>
          <w:rFonts w:ascii="Times New Roman" w:eastAsia="Times New Roman" w:hAnsi="Times New Roman"/>
          <w:bCs/>
          <w:lang w:eastAsia="lt-LT"/>
        </w:rPr>
        <w:t>Pacientams</w:t>
      </w:r>
      <w:r w:rsidRPr="00AC76D3">
        <w:rPr>
          <w:rFonts w:ascii="Times New Roman" w:eastAsia="Times New Roman" w:hAnsi="Times New Roman"/>
          <w:lang w:eastAsia="lt-LT"/>
        </w:rPr>
        <w:t>,</w:t>
      </w:r>
      <w:r w:rsidRPr="007A4754">
        <w:rPr>
          <w:rFonts w:ascii="Times New Roman" w:eastAsia="Times New Roman" w:hAnsi="Times New Roman"/>
          <w:lang w:eastAsia="lt-LT"/>
        </w:rPr>
        <w:t xml:space="preserve"> sergantiems kepenų ar inkstų funkcijos nepakankamumu, gydytojas gali skirti vartoti mažesnę šio vaisto dozę arba dozuoti rečiau.</w:t>
      </w:r>
    </w:p>
    <w:p w:rsidR="00620361" w:rsidRPr="007A4754" w:rsidRDefault="00620361" w:rsidP="00620361">
      <w:pPr>
        <w:widowControl w:val="0"/>
        <w:spacing w:after="0" w:line="240" w:lineRule="auto"/>
        <w:rPr>
          <w:rFonts w:ascii="Times New Roman" w:eastAsia="Times New Roman" w:hAnsi="Times New Roman"/>
          <w:lang w:eastAsia="lt-LT"/>
        </w:rPr>
      </w:pPr>
    </w:p>
    <w:p w:rsidR="00620361" w:rsidRDefault="00620361" w:rsidP="00620361">
      <w:pPr>
        <w:widowControl w:val="0"/>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Jei infekcinę ligą sukėlė beta hemoliziniai streptokokai, gydoma ne trumpiau kaip 10 dienų.</w:t>
      </w:r>
    </w:p>
    <w:p w:rsidR="00620361" w:rsidRDefault="00620361" w:rsidP="00620361">
      <w:pPr>
        <w:widowControl w:val="0"/>
        <w:spacing w:after="0" w:line="240" w:lineRule="auto"/>
        <w:rPr>
          <w:rFonts w:ascii="Times New Roman" w:eastAsia="Times New Roman" w:hAnsi="Times New Roman"/>
          <w:lang w:eastAsia="lt-LT"/>
        </w:rPr>
      </w:pPr>
    </w:p>
    <w:p w:rsidR="00620361" w:rsidRPr="007A4754" w:rsidRDefault="00620361" w:rsidP="00620361">
      <w:pPr>
        <w:widowControl w:val="0"/>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Norint, kad vaistas būtų geriau pasisavintas iš virškinimo trakto, </w:t>
      </w:r>
      <w:r w:rsidRPr="007A4754">
        <w:rPr>
          <w:rFonts w:ascii="Times New Roman" w:eastAsia="Times New Roman" w:hAnsi="Times New Roman"/>
          <w:lang w:eastAsia="lt-LT"/>
        </w:rPr>
        <w:t>1</w:t>
      </w:r>
      <w:r w:rsidRPr="007A4754">
        <w:rPr>
          <w:rFonts w:ascii="Times New Roman" w:eastAsia="Times New Roman" w:hAnsi="Times New Roman"/>
          <w:lang w:eastAsia="lt-LT"/>
        </w:rPr>
        <w:noBreakHyphen/>
        <w:t>2 val. prieš jo vartojimą ir 1</w:t>
      </w:r>
      <w:r w:rsidRPr="007A4754">
        <w:rPr>
          <w:rFonts w:ascii="Times New Roman" w:eastAsia="Times New Roman" w:hAnsi="Times New Roman"/>
          <w:lang w:eastAsia="lt-LT"/>
        </w:rPr>
        <w:noBreakHyphen/>
        <w:t>2 val. po to geriausia nieko nevalgyti ir negerti.</w:t>
      </w:r>
    </w:p>
    <w:p w:rsidR="00620361" w:rsidRPr="007A4754" w:rsidRDefault="00620361" w:rsidP="00620361">
      <w:pPr>
        <w:spacing w:after="0" w:line="240" w:lineRule="auto"/>
        <w:rPr>
          <w:rFonts w:ascii="Times New Roman" w:eastAsia="Times New Roman" w:hAnsi="Times New Roman"/>
          <w:lang w:eastAsia="lt-LT"/>
        </w:rPr>
      </w:pPr>
    </w:p>
    <w:p w:rsidR="00620361" w:rsidRPr="007A4754" w:rsidRDefault="00620361" w:rsidP="00620361">
      <w:pPr>
        <w:keepNext/>
        <w:spacing w:after="0" w:line="240" w:lineRule="auto"/>
        <w:ind w:left="567" w:hanging="567"/>
        <w:outlineLvl w:val="2"/>
        <w:rPr>
          <w:rFonts w:ascii="Times New Roman" w:eastAsia="Times New Roman" w:hAnsi="Times New Roman"/>
          <w:b/>
          <w:lang w:eastAsia="lt-LT"/>
        </w:rPr>
      </w:pPr>
      <w:r w:rsidRPr="007A4754">
        <w:rPr>
          <w:rFonts w:ascii="Times New Roman" w:eastAsia="Times New Roman" w:hAnsi="Times New Roman"/>
          <w:b/>
          <w:lang w:eastAsia="lt-LT"/>
        </w:rPr>
        <w:t>Ką daryti pavartojus per didelę LINCOCIN dozę?</w:t>
      </w:r>
    </w:p>
    <w:p w:rsidR="00620361" w:rsidRPr="007A4754" w:rsidRDefault="00620361" w:rsidP="00620361">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Jei atsitiktinai pavartojote per didelę vaisto</w:t>
      </w:r>
      <w:r w:rsidRPr="007A4754">
        <w:rPr>
          <w:rFonts w:ascii="Times New Roman" w:eastAsia="Times New Roman" w:hAnsi="Times New Roman"/>
          <w:spacing w:val="20"/>
          <w:lang w:eastAsia="lt-LT"/>
        </w:rPr>
        <w:t xml:space="preserve"> </w:t>
      </w:r>
      <w:r w:rsidRPr="007A4754">
        <w:rPr>
          <w:rFonts w:ascii="Times New Roman" w:eastAsia="Times New Roman" w:hAnsi="Times New Roman"/>
          <w:lang w:eastAsia="lt-LT"/>
        </w:rPr>
        <w:t xml:space="preserve">dozę, nedelsdami kreipkitės į gydytoją arba artimiausią ligoninę. </w:t>
      </w:r>
    </w:p>
    <w:p w:rsidR="00620361" w:rsidRPr="007A4754" w:rsidRDefault="00620361" w:rsidP="00620361">
      <w:pPr>
        <w:keepNext/>
        <w:spacing w:after="0" w:line="240" w:lineRule="auto"/>
        <w:ind w:left="567" w:hanging="567"/>
        <w:outlineLvl w:val="2"/>
        <w:rPr>
          <w:rFonts w:ascii="Times New Roman" w:eastAsia="Times New Roman" w:hAnsi="Times New Roman"/>
          <w:b/>
          <w:lang w:eastAsia="lt-LT"/>
        </w:rPr>
      </w:pPr>
    </w:p>
    <w:p w:rsidR="00620361" w:rsidRPr="007A4754" w:rsidRDefault="00620361" w:rsidP="00620361">
      <w:pPr>
        <w:keepNext/>
        <w:spacing w:after="0" w:line="240" w:lineRule="auto"/>
        <w:ind w:left="567" w:hanging="567"/>
        <w:outlineLvl w:val="2"/>
        <w:rPr>
          <w:rFonts w:ascii="Times New Roman" w:eastAsia="Times New Roman" w:hAnsi="Times New Roman"/>
          <w:b/>
          <w:lang w:eastAsia="lt-LT"/>
        </w:rPr>
      </w:pPr>
      <w:r w:rsidRPr="007A4754">
        <w:rPr>
          <w:rFonts w:ascii="Times New Roman" w:eastAsia="Times New Roman" w:hAnsi="Times New Roman"/>
          <w:b/>
          <w:lang w:eastAsia="lt-LT"/>
        </w:rPr>
        <w:t>Pamiršus pavartoti LINCOCIN</w:t>
      </w:r>
    </w:p>
    <w:p w:rsidR="00620361" w:rsidRPr="007A4754" w:rsidRDefault="00620361" w:rsidP="00620361">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Negalima vartoti dvigubos dozės norint kompensuoti praleistą dozę.</w:t>
      </w:r>
    </w:p>
    <w:p w:rsidR="00620361" w:rsidRPr="007A4754" w:rsidRDefault="00620361" w:rsidP="00620361">
      <w:pPr>
        <w:spacing w:after="0" w:line="240" w:lineRule="auto"/>
        <w:rPr>
          <w:rFonts w:ascii="Times New Roman" w:eastAsia="Times New Roman" w:hAnsi="Times New Roman"/>
          <w:lang w:eastAsia="lt-LT"/>
        </w:rPr>
      </w:pPr>
    </w:p>
    <w:p w:rsidR="00620361" w:rsidRPr="007A4754" w:rsidRDefault="00620361" w:rsidP="00620361">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Jeigu kiltų daugiau klausimų dėl šio vaisto vartojimo, kreipkitės į gydytoją arba vaistininką.</w:t>
      </w:r>
    </w:p>
    <w:p w:rsidR="00620361" w:rsidRPr="007A4754" w:rsidRDefault="00620361" w:rsidP="00620361">
      <w:pPr>
        <w:spacing w:after="0" w:line="240" w:lineRule="auto"/>
        <w:rPr>
          <w:rFonts w:ascii="Times New Roman" w:eastAsia="Times New Roman" w:hAnsi="Times New Roman"/>
          <w:lang w:eastAsia="lt-LT"/>
        </w:rPr>
      </w:pPr>
    </w:p>
    <w:p w:rsidR="00620361" w:rsidRPr="007A4754" w:rsidRDefault="00620361" w:rsidP="00620361">
      <w:pPr>
        <w:spacing w:after="0" w:line="240" w:lineRule="auto"/>
        <w:rPr>
          <w:rFonts w:ascii="Times New Roman" w:eastAsia="Times New Roman" w:hAnsi="Times New Roman"/>
          <w:lang w:eastAsia="lt-LT"/>
        </w:rPr>
      </w:pPr>
    </w:p>
    <w:p w:rsidR="00620361" w:rsidRPr="007A4754" w:rsidRDefault="00620361" w:rsidP="00620361">
      <w:pPr>
        <w:keepNext/>
        <w:spacing w:after="0" w:line="240" w:lineRule="auto"/>
        <w:ind w:left="567" w:hanging="567"/>
        <w:outlineLvl w:val="1"/>
        <w:rPr>
          <w:rFonts w:ascii="Times New Roman" w:eastAsia="Times New Roman" w:hAnsi="Times New Roman"/>
          <w:b/>
          <w:lang w:eastAsia="lt-LT"/>
        </w:rPr>
      </w:pPr>
      <w:r w:rsidRPr="007A4754">
        <w:rPr>
          <w:rFonts w:ascii="Times New Roman" w:eastAsia="Times New Roman" w:hAnsi="Times New Roman"/>
          <w:b/>
          <w:lang w:eastAsia="lt-LT"/>
        </w:rPr>
        <w:t>4.</w:t>
      </w:r>
      <w:r w:rsidRPr="007A4754">
        <w:rPr>
          <w:rFonts w:ascii="Times New Roman" w:eastAsia="Times New Roman" w:hAnsi="Times New Roman"/>
          <w:b/>
          <w:lang w:eastAsia="lt-LT"/>
        </w:rPr>
        <w:tab/>
        <w:t>Galimas šalutinis poveikis</w:t>
      </w:r>
    </w:p>
    <w:p w:rsidR="00620361" w:rsidRPr="007A4754" w:rsidRDefault="00620361" w:rsidP="00620361">
      <w:pPr>
        <w:spacing w:after="0" w:line="240" w:lineRule="auto"/>
        <w:rPr>
          <w:rFonts w:ascii="Times New Roman" w:eastAsia="Times New Roman" w:hAnsi="Times New Roman"/>
          <w:lang w:eastAsia="lt-LT"/>
        </w:rPr>
      </w:pPr>
    </w:p>
    <w:p w:rsidR="00620361" w:rsidRPr="007A4754" w:rsidRDefault="00620361" w:rsidP="00620361">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Šis vaistas, kaip ir visi kiti vaistai, gali sukelti šalutinį poveikį, nors jis pasireiškia ne visiems žmonėms.</w:t>
      </w:r>
    </w:p>
    <w:p w:rsidR="00620361" w:rsidRDefault="00620361" w:rsidP="00620361">
      <w:pPr>
        <w:spacing w:after="0" w:line="240" w:lineRule="auto"/>
        <w:rPr>
          <w:rFonts w:ascii="Times New Roman" w:eastAsia="Times New Roman" w:hAnsi="Times New Roman"/>
          <w:lang w:eastAsia="lt-LT"/>
        </w:rPr>
      </w:pPr>
    </w:p>
    <w:p w:rsidR="00620361" w:rsidRPr="00EF5BF7" w:rsidRDefault="00620361" w:rsidP="00620361">
      <w:pPr>
        <w:spacing w:after="0" w:line="240" w:lineRule="auto"/>
        <w:rPr>
          <w:rFonts w:ascii="Times New Roman" w:hAnsi="Times New Roman"/>
        </w:rPr>
      </w:pPr>
      <w:r w:rsidRPr="00EF5BF7">
        <w:rPr>
          <w:rFonts w:ascii="Times New Roman" w:hAnsi="Times New Roman"/>
        </w:rPr>
        <w:t xml:space="preserve">Toliau pateikiamas </w:t>
      </w:r>
      <w:r>
        <w:rPr>
          <w:rFonts w:ascii="Times New Roman" w:hAnsi="Times New Roman"/>
        </w:rPr>
        <w:t xml:space="preserve">galimas </w:t>
      </w:r>
      <w:r w:rsidRPr="00EF5BF7">
        <w:rPr>
          <w:rFonts w:ascii="Times New Roman" w:hAnsi="Times New Roman"/>
        </w:rPr>
        <w:t>šalutinis poveikis, suskirstytas pagal pasireiškimo dažnį</w:t>
      </w:r>
      <w:r>
        <w:rPr>
          <w:rFonts w:ascii="Times New Roman" w:hAnsi="Times New Roman"/>
        </w:rPr>
        <w:t>.</w:t>
      </w:r>
    </w:p>
    <w:p w:rsidR="00620361" w:rsidRPr="00614121" w:rsidRDefault="00620361" w:rsidP="00620361">
      <w:pPr>
        <w:spacing w:after="0" w:line="240" w:lineRule="auto"/>
        <w:rPr>
          <w:rFonts w:ascii="Times New Roman" w:eastAsia="Times New Roman" w:hAnsi="Times New Roman"/>
          <w:snapToGrid w:val="0"/>
          <w:szCs w:val="20"/>
        </w:rPr>
      </w:pPr>
    </w:p>
    <w:p w:rsidR="00620361" w:rsidRPr="00614121" w:rsidRDefault="00620361" w:rsidP="00620361">
      <w:pPr>
        <w:spacing w:after="0" w:line="240" w:lineRule="auto"/>
        <w:rPr>
          <w:rFonts w:ascii="Times New Roman" w:eastAsia="Times New Roman" w:hAnsi="Times New Roman"/>
          <w:snapToGrid w:val="0"/>
          <w:szCs w:val="20"/>
        </w:rPr>
      </w:pPr>
      <w:r w:rsidRPr="00614121">
        <w:rPr>
          <w:rFonts w:ascii="Times New Roman" w:eastAsia="Times New Roman" w:hAnsi="Times New Roman"/>
          <w:snapToGrid w:val="0"/>
          <w:szCs w:val="20"/>
        </w:rPr>
        <w:t>Jei pasireikš bet kuri toliau paminėta gyvybei pavojų kelti galinti odos reakcija (tokio poveikio dažnis yra nežinomas, t. y. negali būti apskaičiuotas pagal turimus duomenis), turite nedelsdami kreiptis į gydytoją.</w:t>
      </w:r>
    </w:p>
    <w:p w:rsidR="00620361" w:rsidRPr="00614121" w:rsidRDefault="00620361" w:rsidP="00620361">
      <w:pPr>
        <w:numPr>
          <w:ilvl w:val="0"/>
          <w:numId w:val="7"/>
        </w:numPr>
        <w:tabs>
          <w:tab w:val="left" w:pos="567"/>
        </w:tabs>
        <w:spacing w:after="0" w:line="240" w:lineRule="auto"/>
        <w:ind w:left="567" w:hanging="567"/>
        <w:contextualSpacing/>
        <w:rPr>
          <w:rFonts w:ascii="Times New Roman" w:eastAsia="Times New Roman" w:hAnsi="Times New Roman"/>
          <w:snapToGrid w:val="0"/>
          <w:szCs w:val="20"/>
        </w:rPr>
      </w:pPr>
      <w:r w:rsidRPr="00614121">
        <w:rPr>
          <w:rFonts w:ascii="Times New Roman" w:eastAsia="Times New Roman" w:hAnsi="Times New Roman"/>
          <w:snapToGrid w:val="0"/>
          <w:szCs w:val="20"/>
        </w:rPr>
        <w:t>Staiga pasireiškęs sunkus odos išbėrimas, pūslių atsiradimas ar lupimasis (kartu gali būti karščiavimas ir sąnarių skausmas). Tai gali būti sunkios medicininės būklės, vadinamos toksine epidermio nekrolize, požymiai.</w:t>
      </w:r>
    </w:p>
    <w:p w:rsidR="00620361" w:rsidRPr="00614121" w:rsidRDefault="00620361" w:rsidP="00620361">
      <w:pPr>
        <w:numPr>
          <w:ilvl w:val="0"/>
          <w:numId w:val="7"/>
        </w:numPr>
        <w:tabs>
          <w:tab w:val="left" w:pos="567"/>
        </w:tabs>
        <w:spacing w:after="0" w:line="240" w:lineRule="auto"/>
        <w:ind w:left="567" w:hanging="567"/>
        <w:contextualSpacing/>
        <w:rPr>
          <w:rFonts w:ascii="Times New Roman" w:eastAsia="Times New Roman" w:hAnsi="Times New Roman"/>
          <w:snapToGrid w:val="0"/>
          <w:szCs w:val="20"/>
        </w:rPr>
      </w:pPr>
      <w:r w:rsidRPr="00614121">
        <w:rPr>
          <w:rFonts w:ascii="Times New Roman" w:eastAsia="Times New Roman" w:hAnsi="Times New Roman"/>
          <w:snapToGrid w:val="0"/>
          <w:szCs w:val="20"/>
        </w:rPr>
        <w:t>Odos išbėrimas, kuriam būdingas staigus odos plotų paraudimas su mažomis pustulėmis (smulkiomis pūslelėmis, užpildytomis baltu ar geltonu skysčiu) (ūminė išplitusi egzanteminė pustuliozė).</w:t>
      </w:r>
    </w:p>
    <w:p w:rsidR="00620361" w:rsidRPr="00614121" w:rsidRDefault="00620361" w:rsidP="00620361">
      <w:pPr>
        <w:numPr>
          <w:ilvl w:val="0"/>
          <w:numId w:val="7"/>
        </w:numPr>
        <w:tabs>
          <w:tab w:val="left" w:pos="567"/>
        </w:tabs>
        <w:spacing w:after="0" w:line="240" w:lineRule="auto"/>
        <w:ind w:left="567" w:hanging="567"/>
        <w:contextualSpacing/>
        <w:rPr>
          <w:rFonts w:ascii="Times New Roman" w:eastAsia="Times New Roman" w:hAnsi="Times New Roman"/>
          <w:snapToGrid w:val="0"/>
          <w:szCs w:val="20"/>
        </w:rPr>
      </w:pPr>
      <w:r w:rsidRPr="00614121">
        <w:rPr>
          <w:rFonts w:ascii="Times New Roman" w:eastAsia="Times New Roman" w:hAnsi="Times New Roman"/>
          <w:snapToGrid w:val="0"/>
          <w:szCs w:val="20"/>
        </w:rPr>
        <w:t>Išplitęs išbėrimas kartu su pūslių atsiradimu ar didelių odos plotų lupimusi, ypač aplink burną, nosį, akis ar lytinius organus (Stivenso-Džonsono sindromas).</w:t>
      </w:r>
    </w:p>
    <w:p w:rsidR="00620361" w:rsidRPr="00614121" w:rsidRDefault="00620361" w:rsidP="00620361">
      <w:pPr>
        <w:numPr>
          <w:ilvl w:val="0"/>
          <w:numId w:val="7"/>
        </w:numPr>
        <w:tabs>
          <w:tab w:val="left" w:pos="567"/>
        </w:tabs>
        <w:spacing w:after="0" w:line="240" w:lineRule="auto"/>
        <w:ind w:left="567" w:hanging="567"/>
        <w:contextualSpacing/>
        <w:rPr>
          <w:rFonts w:ascii="Times New Roman" w:eastAsia="Times New Roman" w:hAnsi="Times New Roman"/>
          <w:snapToGrid w:val="0"/>
          <w:szCs w:val="20"/>
        </w:rPr>
      </w:pPr>
      <w:r w:rsidRPr="00614121">
        <w:rPr>
          <w:rFonts w:ascii="Times New Roman" w:eastAsia="Times New Roman" w:hAnsi="Times New Roman"/>
          <w:snapToGrid w:val="0"/>
          <w:szCs w:val="20"/>
        </w:rPr>
        <w:t>Odos išbėrimas (gali būti pūslių), atrodantis kaip maži taikiniai (tamsi dėmė centre, juosiama blyškesnio ploto su tamsiu žiedu aplink kraštą) (daug</w:t>
      </w:r>
      <w:r>
        <w:rPr>
          <w:rFonts w:ascii="Times New Roman" w:eastAsia="Times New Roman" w:hAnsi="Times New Roman"/>
          <w:snapToGrid w:val="0"/>
          <w:szCs w:val="20"/>
        </w:rPr>
        <w:t>i</w:t>
      </w:r>
      <w:r w:rsidRPr="00614121">
        <w:rPr>
          <w:rFonts w:ascii="Times New Roman" w:eastAsia="Times New Roman" w:hAnsi="Times New Roman"/>
          <w:snapToGrid w:val="0"/>
          <w:szCs w:val="20"/>
        </w:rPr>
        <w:t>aformė eritema).</w:t>
      </w:r>
    </w:p>
    <w:p w:rsidR="00620361" w:rsidRPr="00EF5BF7" w:rsidRDefault="00620361" w:rsidP="00620361">
      <w:pPr>
        <w:spacing w:after="0" w:line="240" w:lineRule="auto"/>
        <w:rPr>
          <w:rFonts w:ascii="Times New Roman" w:hAnsi="Times New Roman"/>
        </w:rPr>
      </w:pPr>
    </w:p>
    <w:p w:rsidR="00620361" w:rsidRPr="00EF5BF7" w:rsidRDefault="00620361" w:rsidP="00620361">
      <w:pPr>
        <w:spacing w:after="0" w:line="240" w:lineRule="auto"/>
        <w:rPr>
          <w:rFonts w:ascii="Times New Roman" w:hAnsi="Times New Roman"/>
          <w:i/>
          <w:color w:val="000000"/>
          <w:lang w:eastAsia="lt-LT"/>
        </w:rPr>
      </w:pPr>
      <w:r w:rsidRPr="007D480F">
        <w:rPr>
          <w:rFonts w:ascii="Times New Roman" w:hAnsi="Times New Roman"/>
          <w:i/>
          <w:color w:val="000000"/>
          <w:lang w:eastAsia="lt-LT"/>
        </w:rPr>
        <w:t>Dažni šalutinio poveikio reiškiniai (gali pasireik</w:t>
      </w:r>
      <w:r>
        <w:rPr>
          <w:rFonts w:ascii="Times New Roman" w:hAnsi="Times New Roman"/>
          <w:i/>
          <w:color w:val="000000"/>
          <w:lang w:eastAsia="lt-LT"/>
        </w:rPr>
        <w:t xml:space="preserve">šti rečiau kaip 1 iš 10 asmenų): </w:t>
      </w:r>
    </w:p>
    <w:p w:rsidR="00620361" w:rsidRPr="00EF5BF7" w:rsidRDefault="00620361" w:rsidP="00620361">
      <w:pPr>
        <w:numPr>
          <w:ilvl w:val="0"/>
          <w:numId w:val="2"/>
        </w:numPr>
        <w:spacing w:after="0" w:line="240" w:lineRule="auto"/>
        <w:ind w:left="470" w:hanging="357"/>
        <w:rPr>
          <w:rFonts w:ascii="Times New Roman" w:hAnsi="Times New Roman"/>
          <w:lang w:eastAsia="lt-LT"/>
        </w:rPr>
      </w:pPr>
      <w:r w:rsidRPr="00EF5BF7">
        <w:rPr>
          <w:rFonts w:ascii="Times New Roman" w:hAnsi="Times New Roman"/>
          <w:lang w:eastAsia="lt-LT"/>
        </w:rPr>
        <w:t xml:space="preserve">viduriavimas; </w:t>
      </w:r>
    </w:p>
    <w:p w:rsidR="00620361" w:rsidRPr="00EF5BF7" w:rsidRDefault="00620361" w:rsidP="00620361">
      <w:pPr>
        <w:numPr>
          <w:ilvl w:val="0"/>
          <w:numId w:val="2"/>
        </w:numPr>
        <w:spacing w:after="0" w:line="240" w:lineRule="auto"/>
        <w:ind w:left="470" w:hanging="357"/>
        <w:rPr>
          <w:rFonts w:ascii="Times New Roman" w:hAnsi="Times New Roman"/>
          <w:lang w:eastAsia="lt-LT"/>
        </w:rPr>
      </w:pPr>
      <w:r w:rsidRPr="00EF5BF7">
        <w:rPr>
          <w:rFonts w:ascii="Times New Roman" w:hAnsi="Times New Roman"/>
          <w:lang w:eastAsia="lt-LT"/>
        </w:rPr>
        <w:t xml:space="preserve">pykinimas; </w:t>
      </w:r>
    </w:p>
    <w:p w:rsidR="00620361" w:rsidRPr="00EF5BF7" w:rsidRDefault="00620361" w:rsidP="00620361">
      <w:pPr>
        <w:numPr>
          <w:ilvl w:val="0"/>
          <w:numId w:val="2"/>
        </w:numPr>
        <w:spacing w:after="0" w:line="240" w:lineRule="auto"/>
        <w:ind w:left="470" w:hanging="357"/>
        <w:rPr>
          <w:rFonts w:ascii="Times New Roman" w:hAnsi="Times New Roman"/>
          <w:lang w:eastAsia="lt-LT"/>
        </w:rPr>
      </w:pPr>
      <w:r w:rsidRPr="00EF5BF7">
        <w:rPr>
          <w:rFonts w:ascii="Times New Roman" w:hAnsi="Times New Roman"/>
          <w:lang w:eastAsia="lt-LT"/>
        </w:rPr>
        <w:t>vėmimas.</w:t>
      </w:r>
    </w:p>
    <w:p w:rsidR="00620361" w:rsidRPr="00EF5BF7" w:rsidRDefault="00620361" w:rsidP="00620361">
      <w:pPr>
        <w:spacing w:after="0" w:line="240" w:lineRule="auto"/>
        <w:rPr>
          <w:rFonts w:ascii="Times New Roman" w:hAnsi="Times New Roman"/>
          <w:i/>
          <w:color w:val="000000"/>
          <w:lang w:eastAsia="lt-LT"/>
        </w:rPr>
      </w:pPr>
    </w:p>
    <w:p w:rsidR="00620361" w:rsidRPr="00EF5BF7" w:rsidRDefault="00620361" w:rsidP="00620361">
      <w:pPr>
        <w:spacing w:after="0" w:line="240" w:lineRule="auto"/>
        <w:rPr>
          <w:rFonts w:ascii="Times New Roman" w:hAnsi="Times New Roman"/>
          <w:i/>
          <w:color w:val="000000"/>
          <w:lang w:eastAsia="lt-LT"/>
        </w:rPr>
      </w:pPr>
      <w:r w:rsidRPr="007D480F">
        <w:rPr>
          <w:rFonts w:ascii="Times New Roman" w:hAnsi="Times New Roman"/>
          <w:i/>
          <w:color w:val="000000"/>
          <w:lang w:eastAsia="lt-LT"/>
        </w:rPr>
        <w:t xml:space="preserve">Nedažni šalutinio poveikio reiškiniai (gali pasireikšti rečiau kaip 1 iš 100 asmenų): </w:t>
      </w:r>
    </w:p>
    <w:p w:rsidR="00620361" w:rsidRPr="00EF5BF7" w:rsidRDefault="00620361" w:rsidP="00620361">
      <w:pPr>
        <w:numPr>
          <w:ilvl w:val="0"/>
          <w:numId w:val="3"/>
        </w:numPr>
        <w:spacing w:after="0" w:line="240" w:lineRule="auto"/>
        <w:ind w:left="470" w:hanging="357"/>
        <w:rPr>
          <w:rFonts w:ascii="Times New Roman" w:hAnsi="Times New Roman"/>
          <w:lang w:eastAsia="lt-LT"/>
        </w:rPr>
      </w:pPr>
      <w:r w:rsidRPr="00EF5BF7">
        <w:rPr>
          <w:rFonts w:ascii="Times New Roman" w:hAnsi="Times New Roman"/>
          <w:lang w:eastAsia="lt-LT"/>
        </w:rPr>
        <w:t>makšties infekcija;</w:t>
      </w:r>
    </w:p>
    <w:p w:rsidR="00620361" w:rsidRPr="00EF5BF7" w:rsidRDefault="00620361" w:rsidP="00620361">
      <w:pPr>
        <w:numPr>
          <w:ilvl w:val="0"/>
          <w:numId w:val="3"/>
        </w:numPr>
        <w:spacing w:after="0" w:line="240" w:lineRule="auto"/>
        <w:ind w:left="470" w:hanging="357"/>
        <w:rPr>
          <w:rFonts w:ascii="Times New Roman" w:hAnsi="Times New Roman"/>
          <w:lang w:eastAsia="lt-LT"/>
        </w:rPr>
      </w:pPr>
      <w:r w:rsidRPr="00EF5BF7">
        <w:rPr>
          <w:rFonts w:ascii="Times New Roman" w:hAnsi="Times New Roman"/>
          <w:lang w:eastAsia="lt-LT"/>
        </w:rPr>
        <w:t xml:space="preserve">odos išbėrimas; </w:t>
      </w:r>
    </w:p>
    <w:p w:rsidR="00620361" w:rsidRPr="00EF5BF7" w:rsidRDefault="00620361" w:rsidP="00620361">
      <w:pPr>
        <w:numPr>
          <w:ilvl w:val="0"/>
          <w:numId w:val="3"/>
        </w:numPr>
        <w:spacing w:after="0" w:line="240" w:lineRule="auto"/>
        <w:ind w:left="470" w:hanging="357"/>
        <w:rPr>
          <w:rFonts w:ascii="Times New Roman" w:hAnsi="Times New Roman"/>
          <w:lang w:eastAsia="lt-LT"/>
        </w:rPr>
      </w:pPr>
      <w:r w:rsidRPr="00EF5BF7">
        <w:rPr>
          <w:rFonts w:ascii="Times New Roman" w:hAnsi="Times New Roman"/>
          <w:lang w:eastAsia="lt-LT"/>
        </w:rPr>
        <w:t>dilgėlinė.</w:t>
      </w:r>
    </w:p>
    <w:p w:rsidR="00620361" w:rsidRPr="00EF5BF7" w:rsidRDefault="00620361" w:rsidP="00620361">
      <w:pPr>
        <w:spacing w:after="0" w:line="240" w:lineRule="auto"/>
        <w:rPr>
          <w:rFonts w:ascii="Times New Roman" w:hAnsi="Times New Roman"/>
          <w:lang w:eastAsia="lt-LT"/>
        </w:rPr>
      </w:pPr>
    </w:p>
    <w:p w:rsidR="00620361" w:rsidRPr="00EF5BF7" w:rsidRDefault="00620361" w:rsidP="00620361">
      <w:pPr>
        <w:spacing w:after="0" w:line="240" w:lineRule="auto"/>
        <w:rPr>
          <w:rFonts w:ascii="Times New Roman" w:hAnsi="Times New Roman"/>
          <w:i/>
          <w:color w:val="000000"/>
          <w:lang w:eastAsia="lt-LT"/>
        </w:rPr>
      </w:pPr>
      <w:r w:rsidRPr="007D480F">
        <w:rPr>
          <w:rFonts w:ascii="Times New Roman" w:hAnsi="Times New Roman"/>
          <w:i/>
          <w:color w:val="000000"/>
          <w:lang w:eastAsia="lt-LT"/>
        </w:rPr>
        <w:t>Reti šalutinio poveikio reiškiniai (gali pasireikšti rečiau kaip 1 iš 1 000 asmenų):</w:t>
      </w:r>
    </w:p>
    <w:p w:rsidR="00620361" w:rsidRPr="00EF5BF7" w:rsidRDefault="00620361" w:rsidP="00620361">
      <w:pPr>
        <w:numPr>
          <w:ilvl w:val="0"/>
          <w:numId w:val="4"/>
        </w:numPr>
        <w:spacing w:after="0" w:line="240" w:lineRule="auto"/>
        <w:ind w:left="470" w:hanging="357"/>
        <w:rPr>
          <w:rFonts w:ascii="Times New Roman" w:hAnsi="Times New Roman"/>
          <w:lang w:eastAsia="lt-LT"/>
        </w:rPr>
      </w:pPr>
      <w:r w:rsidRPr="00EF5BF7">
        <w:rPr>
          <w:rFonts w:ascii="Times New Roman" w:hAnsi="Times New Roman"/>
          <w:lang w:eastAsia="lt-LT"/>
        </w:rPr>
        <w:t>niež</w:t>
      </w:r>
      <w:r>
        <w:rPr>
          <w:rFonts w:ascii="Times New Roman" w:hAnsi="Times New Roman"/>
          <w:lang w:eastAsia="lt-LT"/>
        </w:rPr>
        <w:t>uly</w:t>
      </w:r>
      <w:r w:rsidRPr="00EF5BF7">
        <w:rPr>
          <w:rFonts w:ascii="Times New Roman" w:hAnsi="Times New Roman"/>
          <w:lang w:eastAsia="lt-LT"/>
        </w:rPr>
        <w:t>s.</w:t>
      </w:r>
    </w:p>
    <w:p w:rsidR="00620361" w:rsidRPr="00EF5BF7" w:rsidRDefault="00620361" w:rsidP="00620361">
      <w:pPr>
        <w:spacing w:after="0" w:line="240" w:lineRule="auto"/>
        <w:rPr>
          <w:rFonts w:ascii="Times New Roman" w:hAnsi="Times New Roman"/>
          <w:lang w:eastAsia="lt-LT"/>
        </w:rPr>
      </w:pPr>
    </w:p>
    <w:p w:rsidR="00620361" w:rsidRPr="00EF5BF7" w:rsidRDefault="00620361" w:rsidP="00620361">
      <w:pPr>
        <w:spacing w:after="0" w:line="240" w:lineRule="auto"/>
        <w:rPr>
          <w:rFonts w:ascii="Times New Roman" w:hAnsi="Times New Roman"/>
          <w:i/>
          <w:color w:val="000000"/>
          <w:lang w:eastAsia="lt-LT"/>
        </w:rPr>
      </w:pPr>
      <w:r w:rsidRPr="007D480F">
        <w:rPr>
          <w:rFonts w:ascii="Times New Roman" w:hAnsi="Times New Roman"/>
          <w:i/>
          <w:color w:val="000000"/>
          <w:lang w:eastAsia="lt-LT"/>
        </w:rPr>
        <w:t>Šalutin</w:t>
      </w:r>
      <w:r>
        <w:rPr>
          <w:rFonts w:ascii="Times New Roman" w:hAnsi="Times New Roman"/>
          <w:i/>
          <w:color w:val="000000"/>
          <w:lang w:eastAsia="lt-LT"/>
        </w:rPr>
        <w:t>io poveikio reiškiniai, kurių</w:t>
      </w:r>
      <w:r w:rsidRPr="007D480F">
        <w:rPr>
          <w:rFonts w:ascii="Times New Roman" w:hAnsi="Times New Roman"/>
          <w:i/>
          <w:color w:val="000000"/>
          <w:lang w:eastAsia="lt-LT"/>
        </w:rPr>
        <w:t xml:space="preserve"> dažnis nežinomas (negali būti apskaičiuotas pagal turimus duomenis): </w:t>
      </w:r>
    </w:p>
    <w:p w:rsidR="00620361" w:rsidRPr="00EF5BF7" w:rsidRDefault="00620361" w:rsidP="00620361">
      <w:pPr>
        <w:numPr>
          <w:ilvl w:val="0"/>
          <w:numId w:val="5"/>
        </w:numPr>
        <w:spacing w:after="0" w:line="240" w:lineRule="auto"/>
        <w:ind w:left="470" w:hanging="357"/>
        <w:rPr>
          <w:rFonts w:ascii="Times New Roman" w:hAnsi="Times New Roman"/>
          <w:lang w:eastAsia="lt-LT"/>
        </w:rPr>
      </w:pPr>
      <w:r w:rsidRPr="00EF5BF7">
        <w:rPr>
          <w:rFonts w:ascii="Times New Roman" w:hAnsi="Times New Roman"/>
          <w:color w:val="000000"/>
          <w:lang w:eastAsia="lt-LT"/>
        </w:rPr>
        <w:t xml:space="preserve">sunkus storosios žarnos uždegimas, pasireiškiantis nepraeinančiu viduriavimu (vadinamasis </w:t>
      </w:r>
      <w:r w:rsidRPr="00EF5BF7">
        <w:rPr>
          <w:rFonts w:ascii="Times New Roman" w:hAnsi="Times New Roman"/>
          <w:lang w:eastAsia="lt-LT"/>
        </w:rPr>
        <w:t xml:space="preserve">pseudomembraninis kolitas); </w:t>
      </w:r>
    </w:p>
    <w:p w:rsidR="00620361" w:rsidRPr="00EF5BF7" w:rsidRDefault="00620361" w:rsidP="00620361">
      <w:pPr>
        <w:numPr>
          <w:ilvl w:val="0"/>
          <w:numId w:val="6"/>
        </w:numPr>
        <w:spacing w:after="0" w:line="240" w:lineRule="auto"/>
        <w:ind w:left="470" w:hanging="357"/>
        <w:rPr>
          <w:rFonts w:ascii="Times New Roman" w:hAnsi="Times New Roman"/>
          <w:lang w:eastAsia="lt-LT"/>
        </w:rPr>
      </w:pPr>
      <w:r w:rsidRPr="00EF5BF7">
        <w:rPr>
          <w:rFonts w:ascii="Times New Roman" w:hAnsi="Times New Roman"/>
          <w:lang w:eastAsia="lt-LT"/>
        </w:rPr>
        <w:t xml:space="preserve">bakterijos </w:t>
      </w:r>
      <w:r w:rsidRPr="00EF5BF7">
        <w:rPr>
          <w:rFonts w:ascii="Times New Roman" w:hAnsi="Times New Roman"/>
          <w:i/>
          <w:lang w:eastAsia="lt-LT"/>
        </w:rPr>
        <w:t>Clostridium difficile</w:t>
      </w:r>
      <w:r w:rsidRPr="00EF5BF7">
        <w:rPr>
          <w:rFonts w:ascii="Times New Roman" w:hAnsi="Times New Roman"/>
          <w:lang w:eastAsia="lt-LT"/>
        </w:rPr>
        <w:t xml:space="preserve"> sukeltas storosios žarnos uždegimas;</w:t>
      </w:r>
    </w:p>
    <w:p w:rsidR="00620361" w:rsidRDefault="00620361" w:rsidP="00620361">
      <w:pPr>
        <w:numPr>
          <w:ilvl w:val="0"/>
          <w:numId w:val="6"/>
        </w:numPr>
        <w:spacing w:after="0" w:line="240" w:lineRule="auto"/>
        <w:ind w:left="470" w:hanging="357"/>
        <w:rPr>
          <w:rFonts w:ascii="Times New Roman" w:hAnsi="Times New Roman"/>
          <w:lang w:eastAsia="lt-LT"/>
        </w:rPr>
      </w:pPr>
      <w:r>
        <w:rPr>
          <w:rFonts w:ascii="Times New Roman" w:hAnsi="Times New Roman"/>
          <w:lang w:eastAsia="lt-LT"/>
        </w:rPr>
        <w:t>stemplės uždegimas;</w:t>
      </w:r>
    </w:p>
    <w:p w:rsidR="00620361" w:rsidRPr="00EF5BF7" w:rsidRDefault="00620361" w:rsidP="00620361">
      <w:pPr>
        <w:numPr>
          <w:ilvl w:val="0"/>
          <w:numId w:val="6"/>
        </w:numPr>
        <w:spacing w:after="0" w:line="240" w:lineRule="auto"/>
        <w:ind w:left="470" w:hanging="357"/>
        <w:rPr>
          <w:rFonts w:ascii="Times New Roman" w:hAnsi="Times New Roman"/>
          <w:lang w:eastAsia="lt-LT"/>
        </w:rPr>
      </w:pPr>
      <w:r w:rsidRPr="00EF5BF7">
        <w:rPr>
          <w:rFonts w:ascii="Times New Roman" w:hAnsi="Times New Roman"/>
          <w:lang w:eastAsia="lt-LT"/>
        </w:rPr>
        <w:t>pilvo diskomfortas;</w:t>
      </w:r>
    </w:p>
    <w:p w:rsidR="00620361" w:rsidRPr="00EF5BF7" w:rsidRDefault="00620361" w:rsidP="00620361">
      <w:pPr>
        <w:numPr>
          <w:ilvl w:val="0"/>
          <w:numId w:val="6"/>
        </w:numPr>
        <w:spacing w:after="0" w:line="240" w:lineRule="auto"/>
        <w:ind w:left="470" w:hanging="357"/>
        <w:rPr>
          <w:rFonts w:ascii="Times New Roman" w:hAnsi="Times New Roman"/>
          <w:lang w:eastAsia="lt-LT"/>
        </w:rPr>
      </w:pPr>
      <w:r w:rsidRPr="00EF5BF7">
        <w:rPr>
          <w:rFonts w:ascii="Times New Roman" w:hAnsi="Times New Roman"/>
          <w:lang w:eastAsia="lt-LT"/>
        </w:rPr>
        <w:t xml:space="preserve">visų kraujo ląstelių </w:t>
      </w:r>
      <w:r>
        <w:rPr>
          <w:rFonts w:ascii="Times New Roman" w:hAnsi="Times New Roman"/>
          <w:lang w:eastAsia="lt-LT"/>
        </w:rPr>
        <w:t xml:space="preserve">skaičiaus </w:t>
      </w:r>
      <w:r w:rsidRPr="00EF5BF7">
        <w:rPr>
          <w:rFonts w:ascii="Times New Roman" w:hAnsi="Times New Roman"/>
          <w:lang w:eastAsia="lt-LT"/>
        </w:rPr>
        <w:t>sumažėjimas (pancitopenija, aplazinė anemija);</w:t>
      </w:r>
    </w:p>
    <w:p w:rsidR="00620361" w:rsidRPr="00EF5BF7" w:rsidRDefault="00620361" w:rsidP="00620361">
      <w:pPr>
        <w:numPr>
          <w:ilvl w:val="0"/>
          <w:numId w:val="6"/>
        </w:numPr>
        <w:spacing w:after="0" w:line="240" w:lineRule="auto"/>
        <w:ind w:left="470" w:hanging="357"/>
        <w:rPr>
          <w:rFonts w:ascii="Times New Roman" w:hAnsi="Times New Roman"/>
          <w:lang w:eastAsia="lt-LT"/>
        </w:rPr>
      </w:pPr>
      <w:r w:rsidRPr="00EF5BF7">
        <w:rPr>
          <w:rFonts w:ascii="Times New Roman" w:hAnsi="Times New Roman"/>
          <w:lang w:eastAsia="lt-LT"/>
        </w:rPr>
        <w:t xml:space="preserve">baltųjų kraujo ląstelių </w:t>
      </w:r>
      <w:r>
        <w:rPr>
          <w:rFonts w:ascii="Times New Roman" w:hAnsi="Times New Roman"/>
          <w:lang w:eastAsia="lt-LT"/>
        </w:rPr>
        <w:t xml:space="preserve">skaičiaus </w:t>
      </w:r>
      <w:r w:rsidRPr="00EF5BF7">
        <w:rPr>
          <w:rFonts w:ascii="Times New Roman" w:hAnsi="Times New Roman"/>
          <w:lang w:eastAsia="lt-LT"/>
        </w:rPr>
        <w:t>sumažėjimas (agranulocitozė, neutropenija, leukopenija);</w:t>
      </w:r>
    </w:p>
    <w:p w:rsidR="00620361" w:rsidRPr="00EF5BF7" w:rsidRDefault="00620361" w:rsidP="00620361">
      <w:pPr>
        <w:numPr>
          <w:ilvl w:val="0"/>
          <w:numId w:val="6"/>
        </w:numPr>
        <w:spacing w:after="0" w:line="240" w:lineRule="auto"/>
        <w:ind w:left="470" w:hanging="357"/>
        <w:rPr>
          <w:rFonts w:ascii="Times New Roman" w:hAnsi="Times New Roman"/>
          <w:lang w:eastAsia="lt-LT"/>
        </w:rPr>
      </w:pPr>
      <w:r w:rsidRPr="00EF5BF7">
        <w:rPr>
          <w:rFonts w:ascii="Times New Roman" w:hAnsi="Times New Roman"/>
          <w:lang w:eastAsia="lt-LT"/>
        </w:rPr>
        <w:t xml:space="preserve">kraujo ląstelių, atsakingų už krešėjimą, </w:t>
      </w:r>
      <w:r>
        <w:rPr>
          <w:rFonts w:ascii="Times New Roman" w:hAnsi="Times New Roman"/>
          <w:lang w:eastAsia="lt-LT"/>
        </w:rPr>
        <w:t xml:space="preserve">skaičiaus </w:t>
      </w:r>
      <w:r w:rsidRPr="00EF5BF7">
        <w:rPr>
          <w:rFonts w:ascii="Times New Roman" w:hAnsi="Times New Roman"/>
          <w:lang w:eastAsia="lt-LT"/>
        </w:rPr>
        <w:t>sumažėjimas (trombocitopeninė purpura);</w:t>
      </w:r>
    </w:p>
    <w:p w:rsidR="00620361" w:rsidRPr="00EF5BF7" w:rsidRDefault="00620361" w:rsidP="00620361">
      <w:pPr>
        <w:numPr>
          <w:ilvl w:val="0"/>
          <w:numId w:val="6"/>
        </w:numPr>
        <w:spacing w:after="0" w:line="240" w:lineRule="auto"/>
        <w:ind w:left="470" w:hanging="357"/>
        <w:rPr>
          <w:rFonts w:ascii="Times New Roman" w:hAnsi="Times New Roman"/>
          <w:lang w:eastAsia="lt-LT"/>
        </w:rPr>
      </w:pPr>
      <w:r w:rsidRPr="00EF5BF7">
        <w:rPr>
          <w:rFonts w:ascii="Times New Roman" w:hAnsi="Times New Roman"/>
          <w:color w:val="000000"/>
          <w:lang w:eastAsia="lt-LT"/>
        </w:rPr>
        <w:t>sunki alerginė (anafilaksinė) reakcija;</w:t>
      </w:r>
    </w:p>
    <w:p w:rsidR="00620361" w:rsidRPr="00EF5BF7" w:rsidRDefault="00620361" w:rsidP="00620361">
      <w:pPr>
        <w:numPr>
          <w:ilvl w:val="0"/>
          <w:numId w:val="6"/>
        </w:numPr>
        <w:spacing w:after="0" w:line="240" w:lineRule="auto"/>
        <w:ind w:left="470" w:hanging="357"/>
        <w:rPr>
          <w:rFonts w:ascii="Times New Roman" w:hAnsi="Times New Roman"/>
          <w:lang w:eastAsia="lt-LT"/>
        </w:rPr>
      </w:pPr>
      <w:r w:rsidRPr="00EF5BF7">
        <w:rPr>
          <w:rFonts w:ascii="Times New Roman" w:hAnsi="Times New Roman"/>
          <w:color w:val="000000"/>
          <w:lang w:eastAsia="lt-LT"/>
        </w:rPr>
        <w:t>angioneurozinė edema (kvėpavimą bei rijimą sutrikdyti galintis alerginis veido, liežuvio ir gerklų patinimas)</w:t>
      </w:r>
      <w:r w:rsidRPr="00EF5BF7">
        <w:rPr>
          <w:rFonts w:ascii="Times New Roman" w:hAnsi="Times New Roman"/>
          <w:lang w:eastAsia="lt-LT"/>
        </w:rPr>
        <w:t>;</w:t>
      </w:r>
    </w:p>
    <w:p w:rsidR="00620361" w:rsidRPr="00EF5BF7" w:rsidRDefault="00620361" w:rsidP="00620361">
      <w:pPr>
        <w:numPr>
          <w:ilvl w:val="0"/>
          <w:numId w:val="6"/>
        </w:numPr>
        <w:spacing w:after="0" w:line="240" w:lineRule="auto"/>
        <w:ind w:left="470" w:hanging="357"/>
        <w:rPr>
          <w:rFonts w:ascii="Times New Roman" w:hAnsi="Times New Roman"/>
          <w:lang w:eastAsia="lt-LT"/>
        </w:rPr>
      </w:pPr>
      <w:r w:rsidRPr="00EF5BF7">
        <w:rPr>
          <w:rFonts w:ascii="Times New Roman" w:hAnsi="Times New Roman"/>
          <w:lang w:eastAsia="lt-LT"/>
        </w:rPr>
        <w:t>seruminė liga (</w:t>
      </w:r>
      <w:r w:rsidRPr="00EF5BF7">
        <w:rPr>
          <w:rFonts w:ascii="Times New Roman" w:hAnsi="Times New Roman"/>
          <w:color w:val="000000"/>
          <w:lang w:eastAsia="lt-LT"/>
        </w:rPr>
        <w:t>išplitusi alerginė reakcija, kuriai būdingas karščiavimas, išbėrimas, niežulys, sąnarių skausmas, inkstų sutrikimas ir limfmazgių patinimas);</w:t>
      </w:r>
    </w:p>
    <w:p w:rsidR="00620361" w:rsidRPr="00EF5BF7" w:rsidRDefault="00620361" w:rsidP="00620361">
      <w:pPr>
        <w:numPr>
          <w:ilvl w:val="0"/>
          <w:numId w:val="6"/>
        </w:numPr>
        <w:spacing w:after="0" w:line="240" w:lineRule="auto"/>
        <w:ind w:left="470" w:hanging="357"/>
        <w:rPr>
          <w:rFonts w:ascii="Times New Roman" w:hAnsi="Times New Roman"/>
          <w:lang w:eastAsia="lt-LT"/>
        </w:rPr>
      </w:pPr>
      <w:r w:rsidRPr="00EF5BF7">
        <w:rPr>
          <w:rFonts w:ascii="Times New Roman" w:hAnsi="Times New Roman"/>
          <w:lang w:eastAsia="lt-LT"/>
        </w:rPr>
        <w:t>odos uždegimas su pūslelėmis ir pūslėmis;</w:t>
      </w:r>
    </w:p>
    <w:p w:rsidR="00620361" w:rsidRPr="00EF5BF7" w:rsidRDefault="00620361" w:rsidP="00620361">
      <w:pPr>
        <w:numPr>
          <w:ilvl w:val="0"/>
          <w:numId w:val="6"/>
        </w:numPr>
        <w:spacing w:after="0" w:line="240" w:lineRule="auto"/>
        <w:ind w:left="470" w:hanging="357"/>
        <w:rPr>
          <w:rFonts w:ascii="Times New Roman" w:hAnsi="Times New Roman"/>
          <w:lang w:eastAsia="lt-LT"/>
        </w:rPr>
      </w:pPr>
      <w:r w:rsidRPr="00EF5BF7">
        <w:rPr>
          <w:rFonts w:ascii="Times New Roman" w:hAnsi="Times New Roman"/>
          <w:lang w:eastAsia="lt-LT"/>
        </w:rPr>
        <w:lastRenderedPageBreak/>
        <w:t>eksfoliacinis dermatitas (liga</w:t>
      </w:r>
      <w:r w:rsidRPr="00EF5BF7">
        <w:rPr>
          <w:rFonts w:ascii="Times New Roman" w:hAnsi="Times New Roman"/>
          <w:color w:val="000033"/>
          <w:lang w:eastAsia="lt-LT"/>
        </w:rPr>
        <w:t xml:space="preserve">, </w:t>
      </w:r>
      <w:r w:rsidRPr="00EF5BF7">
        <w:rPr>
          <w:rFonts w:ascii="Times New Roman" w:hAnsi="Times New Roman"/>
          <w:color w:val="000000"/>
          <w:lang w:eastAsia="lt-LT"/>
        </w:rPr>
        <w:t>kurios metu parausta, sustorėja ir lupasi oda, pabrinksta limfmazgiai, atsiranda taškinių odos kraujosrūvų</w:t>
      </w:r>
      <w:r w:rsidRPr="00EF5BF7">
        <w:rPr>
          <w:rFonts w:ascii="Times New Roman" w:eastAsia="TimesNewRoman" w:hAnsi="Times New Roman"/>
          <w:color w:val="000000"/>
        </w:rPr>
        <w:t>);</w:t>
      </w:r>
    </w:p>
    <w:p w:rsidR="00620361" w:rsidRPr="00EF5BF7" w:rsidRDefault="00620361" w:rsidP="00620361">
      <w:pPr>
        <w:numPr>
          <w:ilvl w:val="0"/>
          <w:numId w:val="6"/>
        </w:numPr>
        <w:spacing w:after="0" w:line="240" w:lineRule="auto"/>
        <w:ind w:left="470" w:hanging="357"/>
        <w:rPr>
          <w:rFonts w:ascii="Times New Roman" w:hAnsi="Times New Roman"/>
          <w:lang w:eastAsia="lt-LT"/>
        </w:rPr>
      </w:pPr>
      <w:r w:rsidRPr="00EF5BF7">
        <w:rPr>
          <w:rFonts w:ascii="Times New Roman" w:hAnsi="Times New Roman"/>
          <w:lang w:eastAsia="lt-LT"/>
        </w:rPr>
        <w:t>gelta ir kepenų funkcijos tyrimų rodmenų pakitimai</w:t>
      </w:r>
      <w:r>
        <w:rPr>
          <w:rFonts w:ascii="Times New Roman" w:hAnsi="Times New Roman"/>
          <w:lang w:eastAsia="lt-LT"/>
        </w:rPr>
        <w:t>.</w:t>
      </w:r>
    </w:p>
    <w:p w:rsidR="00620361" w:rsidRPr="007A4754" w:rsidRDefault="00620361" w:rsidP="00620361">
      <w:pPr>
        <w:spacing w:after="0" w:line="240" w:lineRule="auto"/>
        <w:rPr>
          <w:rFonts w:ascii="Times New Roman" w:eastAsia="Times New Roman" w:hAnsi="Times New Roman"/>
          <w:lang w:eastAsia="lt-LT"/>
        </w:rPr>
      </w:pPr>
    </w:p>
    <w:p w:rsidR="00620361" w:rsidRPr="007A4754" w:rsidRDefault="00620361" w:rsidP="00620361">
      <w:pPr>
        <w:spacing w:after="0" w:line="240" w:lineRule="auto"/>
        <w:rPr>
          <w:rFonts w:ascii="Times New Roman" w:eastAsia="Times New Roman" w:hAnsi="Times New Roman"/>
          <w:b/>
          <w:lang w:eastAsia="lt-LT"/>
        </w:rPr>
      </w:pPr>
      <w:r w:rsidRPr="007A4754">
        <w:rPr>
          <w:rFonts w:ascii="Times New Roman" w:eastAsia="Times New Roman" w:hAnsi="Times New Roman"/>
          <w:b/>
          <w:noProof/>
          <w:lang w:eastAsia="lt-LT"/>
        </w:rPr>
        <w:t>Pranešimas apie šalutinį poveikį</w:t>
      </w:r>
    </w:p>
    <w:p w:rsidR="00620361" w:rsidRPr="007A4754" w:rsidRDefault="00620361" w:rsidP="00620361">
      <w:pPr>
        <w:spacing w:after="0" w:line="240" w:lineRule="auto"/>
        <w:ind w:right="-449"/>
        <w:rPr>
          <w:rFonts w:ascii="Times New Roman" w:eastAsia="Times New Roman" w:hAnsi="Times New Roman"/>
          <w:noProof/>
          <w:szCs w:val="24"/>
          <w:lang w:eastAsia="lt-LT"/>
        </w:rPr>
      </w:pPr>
      <w:r w:rsidRPr="007A4754">
        <w:rPr>
          <w:rFonts w:ascii="Times New Roman" w:eastAsia="Times New Roman" w:hAnsi="Times New Roman"/>
          <w:lang w:eastAsia="lt-LT"/>
        </w:rPr>
        <w:t xml:space="preserve">Jeigu pasireiškė šalutinis poveikis, įskaitant šiame lapelyje nenurodytą, pasakykite gydytojui arba vaistininkui. </w:t>
      </w:r>
      <w:r w:rsidRPr="007D480F">
        <w:rPr>
          <w:rFonts w:ascii="Times New Roman" w:eastAsia="Times New Roman" w:hAnsi="Times New Roman"/>
          <w:szCs w:val="20"/>
          <w:lang w:eastAsia="lt-LT"/>
        </w:rPr>
        <w:t>Pranešimą apie šalutinį poveikį galite pateikti šiais būdais: tiesiogiai užpildant formą internetu Valstybinės vaistų kontrolės tarnybos prie Lietuvos Respublikos sveikatos apsaugos ministerijos Vaistinių preparatų informacinėje sistemoje</w:t>
      </w:r>
      <w:r>
        <w:rPr>
          <w:rFonts w:ascii="Times New Roman" w:eastAsia="Times New Roman" w:hAnsi="Times New Roman"/>
          <w:szCs w:val="20"/>
          <w:lang w:eastAsia="lt-LT"/>
        </w:rPr>
        <w:t xml:space="preserve"> </w:t>
      </w:r>
      <w:hyperlink r:id="rId5" w:history="1">
        <w:r w:rsidRPr="006468C5">
          <w:rPr>
            <w:rFonts w:ascii="Times New Roman" w:hAnsi="Times New Roman"/>
            <w:snapToGrid w:val="0"/>
            <w:color w:val="0000FF"/>
            <w:u w:val="single"/>
          </w:rPr>
          <w:t>https://vapris.vvkt.lt/vvkt-web/public/nrv</w:t>
        </w:r>
      </w:hyperlink>
      <w:r w:rsidRPr="007D480F">
        <w:rPr>
          <w:rFonts w:ascii="Times New Roman" w:eastAsia="Times New Roman" w:hAnsi="Times New Roman"/>
          <w:szCs w:val="20"/>
          <w:lang w:eastAsia="lt-LT"/>
        </w:rPr>
        <w:t xml:space="preserve"> arba užpildant Paciento pranešimo apie įtariamą nepageidaujamą reakciją (ĮNR) formą, kuri skelbiama</w:t>
      </w:r>
      <w:r>
        <w:rPr>
          <w:rFonts w:ascii="Times New Roman" w:eastAsia="Times New Roman" w:hAnsi="Times New Roman"/>
          <w:szCs w:val="20"/>
          <w:lang w:eastAsia="lt-LT"/>
        </w:rPr>
        <w:t xml:space="preserve"> </w:t>
      </w:r>
      <w:hyperlink r:id="rId6" w:history="1">
        <w:r w:rsidRPr="006468C5">
          <w:rPr>
            <w:rFonts w:ascii="Times New Roman" w:hAnsi="Times New Roman"/>
            <w:snapToGrid w:val="0"/>
            <w:color w:val="0000FF"/>
            <w:u w:val="single"/>
          </w:rPr>
          <w:t>https://www.vvkt.lt/index.php?4004286486</w:t>
        </w:r>
      </w:hyperlink>
      <w:r w:rsidRPr="007D480F">
        <w:rPr>
          <w:rFonts w:ascii="Times New Roman" w:eastAsia="Times New Roman" w:hAnsi="Times New Roman"/>
          <w:szCs w:val="20"/>
          <w:lang w:eastAsia="lt-LT"/>
        </w:rPr>
        <w:t xml:space="preserve">, ir atsiunčiant elektroniniu paštu (adresu </w:t>
      </w:r>
      <w:hyperlink r:id="rId7" w:history="1">
        <w:r w:rsidRPr="001C54BF">
          <w:rPr>
            <w:rStyle w:val="Hipersaitas"/>
            <w:rFonts w:ascii="Times New Roman" w:eastAsia="Times New Roman" w:hAnsi="Times New Roman"/>
            <w:szCs w:val="20"/>
            <w:lang w:eastAsia="lt-LT"/>
          </w:rPr>
          <w:t>NepageidaujamaR@vvkt.lt</w:t>
        </w:r>
      </w:hyperlink>
      <w:r>
        <w:rPr>
          <w:rFonts w:ascii="Times New Roman" w:eastAsia="Times New Roman" w:hAnsi="Times New Roman"/>
          <w:szCs w:val="20"/>
          <w:lang w:eastAsia="lt-LT"/>
        </w:rPr>
        <w:t xml:space="preserve"> </w:t>
      </w:r>
      <w:r w:rsidRPr="007D480F">
        <w:rPr>
          <w:rFonts w:ascii="Times New Roman" w:eastAsia="Times New Roman" w:hAnsi="Times New Roman"/>
          <w:szCs w:val="20"/>
          <w:lang w:eastAsia="lt-LT"/>
        </w:rPr>
        <w:t>) arba nemokamu telefonu 8 800 73 568. Pranešdami apie šalutinį poveikį galite mums padėti gauti daugiau informacijos apie šio vaisto saugumą.</w:t>
      </w:r>
      <w:r w:rsidRPr="007A4754">
        <w:rPr>
          <w:rFonts w:ascii="Times New Roman" w:eastAsia="Times New Roman" w:hAnsi="Times New Roman"/>
          <w:szCs w:val="20"/>
          <w:lang w:eastAsia="lt-LT"/>
        </w:rPr>
        <w:t>.</w:t>
      </w:r>
    </w:p>
    <w:p w:rsidR="00620361" w:rsidRPr="007A4754" w:rsidRDefault="00620361" w:rsidP="00620361">
      <w:pPr>
        <w:tabs>
          <w:tab w:val="left" w:pos="567"/>
        </w:tabs>
        <w:spacing w:after="0" w:line="260" w:lineRule="exact"/>
        <w:ind w:right="-449"/>
        <w:rPr>
          <w:rFonts w:ascii="Times New Roman" w:eastAsia="Times New Roman" w:hAnsi="Times New Roman"/>
          <w:lang w:eastAsia="lt-LT"/>
        </w:rPr>
      </w:pPr>
    </w:p>
    <w:p w:rsidR="00620361" w:rsidRPr="007A4754" w:rsidRDefault="00620361" w:rsidP="00620361">
      <w:pPr>
        <w:spacing w:after="0" w:line="240" w:lineRule="auto"/>
        <w:jc w:val="both"/>
        <w:rPr>
          <w:rFonts w:ascii="Times New Roman" w:eastAsia="Times New Roman" w:hAnsi="Times New Roman"/>
          <w:lang w:eastAsia="lt-LT"/>
        </w:rPr>
      </w:pPr>
    </w:p>
    <w:p w:rsidR="00620361" w:rsidRPr="007A4754" w:rsidRDefault="00620361" w:rsidP="00620361">
      <w:pPr>
        <w:keepNext/>
        <w:spacing w:after="0" w:line="240" w:lineRule="auto"/>
        <w:ind w:left="567" w:hanging="567"/>
        <w:outlineLvl w:val="1"/>
        <w:rPr>
          <w:rFonts w:ascii="Times New Roman" w:eastAsia="Times New Roman" w:hAnsi="Times New Roman"/>
          <w:b/>
          <w:lang w:eastAsia="lt-LT"/>
        </w:rPr>
      </w:pPr>
      <w:r w:rsidRPr="007A4754">
        <w:rPr>
          <w:rFonts w:ascii="Times New Roman" w:eastAsia="Times New Roman" w:hAnsi="Times New Roman"/>
          <w:b/>
          <w:lang w:eastAsia="lt-LT"/>
        </w:rPr>
        <w:t>5.</w:t>
      </w:r>
      <w:r w:rsidRPr="007A4754">
        <w:rPr>
          <w:rFonts w:ascii="Times New Roman" w:eastAsia="Times New Roman" w:hAnsi="Times New Roman"/>
          <w:b/>
          <w:lang w:eastAsia="lt-LT"/>
        </w:rPr>
        <w:tab/>
        <w:t xml:space="preserve">Kaip laikyti LINCOCIN </w:t>
      </w:r>
    </w:p>
    <w:p w:rsidR="00620361" w:rsidRPr="007A4754" w:rsidRDefault="00620361" w:rsidP="00620361">
      <w:pPr>
        <w:spacing w:after="0" w:line="240" w:lineRule="auto"/>
        <w:rPr>
          <w:rFonts w:ascii="Times New Roman" w:eastAsia="Times New Roman" w:hAnsi="Times New Roman"/>
          <w:lang w:eastAsia="lt-LT"/>
        </w:rPr>
      </w:pPr>
    </w:p>
    <w:p w:rsidR="00620361" w:rsidRPr="007A4754" w:rsidRDefault="00620361" w:rsidP="00620361">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Šį vaistą laikykite vaikams nepastebimoje ir nepasiekiamoje vietoje.</w:t>
      </w:r>
    </w:p>
    <w:p w:rsidR="00620361" w:rsidRPr="007A4754" w:rsidRDefault="00620361" w:rsidP="00620361">
      <w:pPr>
        <w:spacing w:after="0" w:line="240" w:lineRule="auto"/>
        <w:rPr>
          <w:rFonts w:ascii="Times New Roman" w:eastAsia="Times New Roman" w:hAnsi="Times New Roman"/>
          <w:lang w:eastAsia="lt-LT"/>
        </w:rPr>
      </w:pPr>
    </w:p>
    <w:p w:rsidR="00620361" w:rsidRPr="007A4754" w:rsidRDefault="00620361" w:rsidP="00620361">
      <w:pPr>
        <w:autoSpaceDE w:val="0"/>
        <w:autoSpaceDN w:val="0"/>
        <w:adjustRightInd w:val="0"/>
        <w:spacing w:after="0" w:line="240" w:lineRule="auto"/>
        <w:jc w:val="both"/>
        <w:rPr>
          <w:rFonts w:ascii="Times New Roman" w:eastAsia="Times New Roman" w:hAnsi="Times New Roman"/>
        </w:rPr>
      </w:pPr>
      <w:r w:rsidRPr="007A4754">
        <w:rPr>
          <w:rFonts w:ascii="Times New Roman" w:eastAsia="Times New Roman" w:hAnsi="Times New Roman"/>
        </w:rPr>
        <w:t>Laikyti ne aukštesnėje kaip 25 ºC temperatūroje.</w:t>
      </w:r>
    </w:p>
    <w:p w:rsidR="00620361" w:rsidRPr="007A4754" w:rsidRDefault="00620361" w:rsidP="00620361">
      <w:pPr>
        <w:autoSpaceDE w:val="0"/>
        <w:autoSpaceDN w:val="0"/>
        <w:adjustRightInd w:val="0"/>
        <w:spacing w:after="0" w:line="240" w:lineRule="auto"/>
        <w:jc w:val="both"/>
        <w:rPr>
          <w:rFonts w:ascii="Times New Roman" w:eastAsia="Times New Roman" w:hAnsi="Times New Roman"/>
        </w:rPr>
      </w:pPr>
    </w:p>
    <w:p w:rsidR="00620361" w:rsidRPr="007A4754" w:rsidRDefault="00620361" w:rsidP="00620361">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Ant kartono dėžutės ir lizdinės plokštelės po „Tinka iki“ nurodytam tinkamumo laikui pasibaigus, šio vaisto vartoti negalima. Vaistas tinkamas vartoti iki paskutinės nurodyto mėnesio dienos.</w:t>
      </w:r>
    </w:p>
    <w:p w:rsidR="00620361" w:rsidRPr="007A4754" w:rsidRDefault="00620361" w:rsidP="00620361">
      <w:pPr>
        <w:spacing w:after="0" w:line="240" w:lineRule="auto"/>
        <w:rPr>
          <w:rFonts w:ascii="Times New Roman" w:eastAsia="Times New Roman" w:hAnsi="Times New Roman"/>
          <w:lang w:eastAsia="lt-LT"/>
        </w:rPr>
      </w:pPr>
    </w:p>
    <w:p w:rsidR="00620361" w:rsidRPr="007A4754" w:rsidRDefault="00620361" w:rsidP="00620361">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Vaistų negalima išmesti į kanalizaciją arba su buitinėmis atliekomis. Kaip išmesti nereikalingus vaistus, klauskite vaistininko. Šios priemonės padės apsaugoti aplinką.</w:t>
      </w:r>
    </w:p>
    <w:p w:rsidR="00620361" w:rsidRPr="007A4754" w:rsidRDefault="00620361" w:rsidP="00620361">
      <w:pPr>
        <w:spacing w:after="0" w:line="240" w:lineRule="auto"/>
        <w:rPr>
          <w:rFonts w:ascii="Times New Roman" w:eastAsia="Times New Roman" w:hAnsi="Times New Roman"/>
          <w:lang w:eastAsia="lt-LT"/>
        </w:rPr>
      </w:pPr>
    </w:p>
    <w:p w:rsidR="00620361" w:rsidRPr="007A4754" w:rsidRDefault="00620361" w:rsidP="00620361">
      <w:pPr>
        <w:spacing w:after="0" w:line="240" w:lineRule="auto"/>
        <w:rPr>
          <w:rFonts w:ascii="Times New Roman" w:eastAsia="Times New Roman" w:hAnsi="Times New Roman"/>
          <w:lang w:eastAsia="lt-LT"/>
        </w:rPr>
      </w:pPr>
    </w:p>
    <w:p w:rsidR="00620361" w:rsidRPr="007A4754" w:rsidRDefault="00620361" w:rsidP="00620361">
      <w:pPr>
        <w:keepNext/>
        <w:spacing w:after="0" w:line="240" w:lineRule="auto"/>
        <w:ind w:left="567" w:hanging="567"/>
        <w:outlineLvl w:val="1"/>
        <w:rPr>
          <w:rFonts w:ascii="Times New Roman" w:eastAsia="Times New Roman" w:hAnsi="Times New Roman"/>
          <w:b/>
          <w:lang w:eastAsia="lt-LT"/>
        </w:rPr>
      </w:pPr>
      <w:r w:rsidRPr="007A4754">
        <w:rPr>
          <w:rFonts w:ascii="Times New Roman" w:eastAsia="Times New Roman" w:hAnsi="Times New Roman"/>
          <w:b/>
          <w:lang w:eastAsia="lt-LT"/>
        </w:rPr>
        <w:t>6.</w:t>
      </w:r>
      <w:r w:rsidRPr="007A4754">
        <w:rPr>
          <w:rFonts w:ascii="Times New Roman" w:eastAsia="Times New Roman" w:hAnsi="Times New Roman"/>
          <w:b/>
          <w:lang w:eastAsia="lt-LT"/>
        </w:rPr>
        <w:tab/>
        <w:t>Pakuotės turinys ir kita informacija</w:t>
      </w:r>
      <w:r w:rsidRPr="007A4754" w:rsidDel="00635A25">
        <w:rPr>
          <w:rFonts w:ascii="Times New Roman" w:eastAsia="Times New Roman" w:hAnsi="Times New Roman"/>
          <w:b/>
          <w:lang w:eastAsia="lt-LT"/>
        </w:rPr>
        <w:t xml:space="preserve"> </w:t>
      </w:r>
    </w:p>
    <w:p w:rsidR="00620361" w:rsidRPr="007A4754" w:rsidRDefault="00620361" w:rsidP="00620361">
      <w:pPr>
        <w:spacing w:after="0" w:line="240" w:lineRule="auto"/>
        <w:rPr>
          <w:rFonts w:ascii="Times New Roman" w:eastAsia="Times New Roman" w:hAnsi="Times New Roman"/>
          <w:lang w:eastAsia="lt-LT"/>
        </w:rPr>
      </w:pPr>
    </w:p>
    <w:p w:rsidR="00620361" w:rsidRPr="007A4754" w:rsidRDefault="00620361" w:rsidP="00620361">
      <w:pPr>
        <w:spacing w:after="0" w:line="240" w:lineRule="auto"/>
        <w:rPr>
          <w:rFonts w:ascii="Times New Roman" w:eastAsia="Times New Roman" w:hAnsi="Times New Roman"/>
          <w:lang w:eastAsia="lt-LT"/>
        </w:rPr>
      </w:pPr>
      <w:r w:rsidRPr="007A4754">
        <w:rPr>
          <w:rFonts w:ascii="Times New Roman" w:eastAsia="Times New Roman" w:hAnsi="Times New Roman"/>
          <w:b/>
          <w:bCs/>
          <w:lang w:eastAsia="lt-LT"/>
        </w:rPr>
        <w:t>LINCOCIN sudėtis</w:t>
      </w:r>
    </w:p>
    <w:p w:rsidR="00620361" w:rsidRPr="007A4754" w:rsidRDefault="00620361" w:rsidP="00620361">
      <w:pPr>
        <w:spacing w:after="0" w:line="240" w:lineRule="auto"/>
        <w:ind w:left="567" w:hanging="567"/>
        <w:rPr>
          <w:rFonts w:ascii="Times New Roman" w:eastAsia="Times New Roman" w:hAnsi="Times New Roman"/>
          <w:lang w:eastAsia="lt-LT"/>
        </w:rPr>
      </w:pPr>
      <w:r w:rsidRPr="007A4754">
        <w:rPr>
          <w:rFonts w:ascii="Times New Roman" w:eastAsia="Times New Roman" w:hAnsi="Times New Roman"/>
          <w:lang w:eastAsia="lt-LT"/>
        </w:rPr>
        <w:t>-</w:t>
      </w:r>
      <w:r w:rsidRPr="007A4754">
        <w:rPr>
          <w:rFonts w:ascii="Times New Roman" w:eastAsia="Times New Roman" w:hAnsi="Times New Roman"/>
          <w:lang w:eastAsia="lt-LT"/>
        </w:rPr>
        <w:tab/>
        <w:t>Veiklioji medžiaga yra linkomicinas. Vienoje kapsulėje yra 500 mg linkomicino (linkomicino hidrochlorido pavidalu).</w:t>
      </w:r>
    </w:p>
    <w:p w:rsidR="00620361" w:rsidRPr="007A4754" w:rsidRDefault="00620361" w:rsidP="00620361">
      <w:pPr>
        <w:spacing w:after="0" w:line="240" w:lineRule="auto"/>
        <w:ind w:left="567" w:hanging="567"/>
        <w:rPr>
          <w:rFonts w:ascii="Times New Roman" w:eastAsia="Times New Roman" w:hAnsi="Times New Roman"/>
          <w:lang w:eastAsia="lt-LT"/>
        </w:rPr>
      </w:pPr>
      <w:r w:rsidRPr="007A4754">
        <w:rPr>
          <w:rFonts w:ascii="Times New Roman" w:eastAsia="Times New Roman" w:hAnsi="Times New Roman"/>
          <w:lang w:eastAsia="lt-LT"/>
        </w:rPr>
        <w:t>-</w:t>
      </w:r>
      <w:r w:rsidRPr="007A4754">
        <w:rPr>
          <w:rFonts w:ascii="Times New Roman" w:eastAsia="Times New Roman" w:hAnsi="Times New Roman"/>
          <w:lang w:eastAsia="lt-LT"/>
        </w:rPr>
        <w:tab/>
        <w:t>Pagalbinės medžiagos: kapsulės turinys - talkas, laktozė monohidratas, magnio stearatas; kapsulės korpusas – indigotino mėlynasis dažas (E132), titano dioksidas (E171), želatina.</w:t>
      </w:r>
    </w:p>
    <w:p w:rsidR="00620361" w:rsidRPr="007A4754" w:rsidRDefault="00620361" w:rsidP="00620361">
      <w:pPr>
        <w:spacing w:after="0" w:line="240" w:lineRule="auto"/>
        <w:rPr>
          <w:rFonts w:ascii="Times New Roman" w:eastAsia="Times New Roman" w:hAnsi="Times New Roman"/>
          <w:lang w:eastAsia="lt-LT"/>
        </w:rPr>
      </w:pPr>
    </w:p>
    <w:p w:rsidR="00620361" w:rsidRPr="007A4754" w:rsidRDefault="00620361" w:rsidP="00620361">
      <w:pPr>
        <w:spacing w:after="0" w:line="240" w:lineRule="auto"/>
        <w:rPr>
          <w:rFonts w:ascii="Times New Roman" w:eastAsia="Times New Roman" w:hAnsi="Times New Roman"/>
          <w:b/>
          <w:lang w:eastAsia="lt-LT"/>
        </w:rPr>
      </w:pPr>
      <w:r w:rsidRPr="007A4754">
        <w:rPr>
          <w:rFonts w:ascii="Times New Roman" w:eastAsia="Times New Roman" w:hAnsi="Times New Roman"/>
          <w:b/>
          <w:bCs/>
          <w:lang w:eastAsia="lt-LT"/>
        </w:rPr>
        <w:t>LINCOCIN</w:t>
      </w:r>
      <w:r w:rsidRPr="007A4754">
        <w:rPr>
          <w:rFonts w:ascii="Times New Roman" w:eastAsia="Times New Roman" w:hAnsi="Times New Roman"/>
          <w:b/>
          <w:lang w:eastAsia="lt-LT"/>
        </w:rPr>
        <w:t xml:space="preserve"> išvaizda ir kiekis pakuotėje</w:t>
      </w:r>
    </w:p>
    <w:p w:rsidR="00620361" w:rsidRPr="007A4754" w:rsidRDefault="00620361" w:rsidP="00620361">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Neskaidrios kapsulės, mėlynos spalvos dangteliu ir melsvos spalvos korpusu, pripildytos baltų miltelių.</w:t>
      </w:r>
    </w:p>
    <w:p w:rsidR="00620361" w:rsidRPr="007A4754" w:rsidRDefault="00620361" w:rsidP="00620361">
      <w:pPr>
        <w:spacing w:after="0" w:line="240" w:lineRule="auto"/>
        <w:rPr>
          <w:rFonts w:ascii="Times New Roman" w:eastAsia="Times New Roman" w:hAnsi="Times New Roman"/>
          <w:u w:val="single"/>
          <w:lang w:eastAsia="lt-LT"/>
        </w:rPr>
      </w:pPr>
      <w:r w:rsidRPr="007A4754">
        <w:rPr>
          <w:rFonts w:ascii="Times New Roman" w:eastAsia="Times New Roman" w:hAnsi="Times New Roman"/>
          <w:lang w:eastAsia="lt-LT"/>
        </w:rPr>
        <w:t>Tiekiamos 20 kapsulių lizdinės plokštelės kartono dėžutėje.</w:t>
      </w:r>
    </w:p>
    <w:p w:rsidR="00620361" w:rsidRPr="007A4754" w:rsidRDefault="00620361" w:rsidP="00620361">
      <w:pPr>
        <w:spacing w:after="0" w:line="240" w:lineRule="auto"/>
        <w:rPr>
          <w:rFonts w:ascii="Times New Roman" w:eastAsia="Times New Roman" w:hAnsi="Times New Roman"/>
          <w:lang w:eastAsia="lt-LT"/>
        </w:rPr>
      </w:pPr>
    </w:p>
    <w:p w:rsidR="00620361" w:rsidRPr="00763709" w:rsidRDefault="00620361" w:rsidP="00620361">
      <w:pPr>
        <w:spacing w:after="0" w:line="240" w:lineRule="auto"/>
        <w:rPr>
          <w:rFonts w:ascii="Times New Roman" w:eastAsia="Times New Roman" w:hAnsi="Times New Roman"/>
          <w:b/>
          <w:bCs/>
          <w:iCs/>
          <w:lang w:eastAsia="lt-LT"/>
        </w:rPr>
      </w:pPr>
      <w:r w:rsidRPr="00763709">
        <w:rPr>
          <w:rFonts w:ascii="Times New Roman" w:eastAsia="Times New Roman" w:hAnsi="Times New Roman"/>
          <w:b/>
          <w:bCs/>
          <w:iCs/>
          <w:lang w:eastAsia="lt-LT"/>
        </w:rPr>
        <w:t>Registruotojas</w:t>
      </w:r>
    </w:p>
    <w:p w:rsidR="00620361" w:rsidRPr="007A4754" w:rsidRDefault="00620361" w:rsidP="00620361">
      <w:pPr>
        <w:spacing w:after="0" w:line="240" w:lineRule="auto"/>
        <w:rPr>
          <w:rFonts w:ascii="Times New Roman" w:eastAsia="Times New Roman" w:hAnsi="Times New Roman"/>
          <w:lang w:eastAsia="fr-FR"/>
        </w:rPr>
      </w:pPr>
      <w:r w:rsidRPr="007A4754">
        <w:rPr>
          <w:rFonts w:ascii="Times New Roman" w:eastAsia="Times New Roman" w:hAnsi="Times New Roman"/>
          <w:lang w:eastAsia="fr-FR"/>
        </w:rPr>
        <w:t>Pfizer Europe MA EEIG</w:t>
      </w:r>
    </w:p>
    <w:p w:rsidR="00620361" w:rsidRPr="00816AF6" w:rsidRDefault="00620361" w:rsidP="00620361">
      <w:pPr>
        <w:spacing w:after="0" w:line="240" w:lineRule="auto"/>
        <w:outlineLvl w:val="0"/>
        <w:rPr>
          <w:rFonts w:ascii="Times New Roman" w:hAnsi="Times New Roman"/>
          <w:lang w:val="de-DE"/>
        </w:rPr>
      </w:pPr>
      <w:r w:rsidRPr="00816AF6">
        <w:rPr>
          <w:rFonts w:ascii="Times New Roman" w:hAnsi="Times New Roman"/>
          <w:lang w:val="de-DE"/>
        </w:rPr>
        <w:t>Boulevard de la Plaine 17</w:t>
      </w:r>
    </w:p>
    <w:p w:rsidR="00620361" w:rsidRPr="00816AF6" w:rsidRDefault="00620361" w:rsidP="00620361">
      <w:pPr>
        <w:spacing w:after="0" w:line="240" w:lineRule="auto"/>
        <w:outlineLvl w:val="0"/>
        <w:rPr>
          <w:rFonts w:ascii="Times New Roman" w:hAnsi="Times New Roman"/>
          <w:lang w:val="de-DE"/>
        </w:rPr>
      </w:pPr>
      <w:r w:rsidRPr="00816AF6">
        <w:rPr>
          <w:rFonts w:ascii="Times New Roman" w:hAnsi="Times New Roman"/>
          <w:lang w:val="de-DE"/>
        </w:rPr>
        <w:t>1050 Bruxelles</w:t>
      </w:r>
    </w:p>
    <w:p w:rsidR="00620361" w:rsidRPr="007A4754" w:rsidRDefault="00620361" w:rsidP="00620361">
      <w:pPr>
        <w:spacing w:after="0" w:line="240" w:lineRule="auto"/>
        <w:rPr>
          <w:rFonts w:ascii="Times New Roman" w:eastAsia="Times New Roman" w:hAnsi="Times New Roman"/>
          <w:lang w:eastAsia="fr-FR"/>
        </w:rPr>
      </w:pPr>
      <w:r w:rsidRPr="00816AF6">
        <w:rPr>
          <w:rFonts w:ascii="Times New Roman" w:hAnsi="Times New Roman"/>
          <w:lang w:val="de-DE"/>
        </w:rPr>
        <w:t>Belgija</w:t>
      </w:r>
    </w:p>
    <w:p w:rsidR="00620361" w:rsidRPr="007A4754" w:rsidRDefault="00620361" w:rsidP="00620361">
      <w:pPr>
        <w:spacing w:after="0" w:line="240" w:lineRule="auto"/>
        <w:rPr>
          <w:rFonts w:ascii="Times New Roman" w:eastAsia="Times New Roman" w:hAnsi="Times New Roman"/>
          <w:lang w:eastAsia="lt-LT"/>
        </w:rPr>
      </w:pPr>
    </w:p>
    <w:p w:rsidR="00620361" w:rsidRPr="007A4754" w:rsidRDefault="00620361" w:rsidP="00620361">
      <w:pPr>
        <w:spacing w:after="0" w:line="240" w:lineRule="auto"/>
        <w:rPr>
          <w:rFonts w:ascii="Times New Roman" w:eastAsia="Times New Roman" w:hAnsi="Times New Roman"/>
          <w:i/>
          <w:lang w:eastAsia="lt-LT"/>
        </w:rPr>
      </w:pPr>
      <w:r w:rsidRPr="00763709">
        <w:rPr>
          <w:rFonts w:ascii="Times New Roman" w:eastAsia="Times New Roman" w:hAnsi="Times New Roman"/>
          <w:b/>
          <w:bCs/>
          <w:iCs/>
          <w:lang w:eastAsia="lt-LT"/>
        </w:rPr>
        <w:t>Gamintojas</w:t>
      </w:r>
    </w:p>
    <w:p w:rsidR="00620361" w:rsidRPr="007A4754" w:rsidRDefault="00620361" w:rsidP="00620361">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Pfizer Italia S.r.l</w:t>
      </w:r>
    </w:p>
    <w:p w:rsidR="00620361" w:rsidRPr="007A4754" w:rsidRDefault="00620361" w:rsidP="00620361">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Localita Marino del Tronto</w:t>
      </w:r>
    </w:p>
    <w:p w:rsidR="00620361" w:rsidRPr="007A4754" w:rsidRDefault="00620361" w:rsidP="00620361">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63100 Ascoli Piceno (AP)</w:t>
      </w:r>
    </w:p>
    <w:p w:rsidR="00620361" w:rsidRPr="007A4754" w:rsidRDefault="00620361" w:rsidP="00620361">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Italija</w:t>
      </w:r>
    </w:p>
    <w:p w:rsidR="00620361" w:rsidRPr="007A4754" w:rsidRDefault="00620361" w:rsidP="00620361">
      <w:pPr>
        <w:spacing w:after="0" w:line="240" w:lineRule="auto"/>
        <w:rPr>
          <w:rFonts w:ascii="Times New Roman" w:eastAsia="Times New Roman" w:hAnsi="Times New Roman"/>
          <w:lang w:eastAsia="lt-LT"/>
        </w:rPr>
      </w:pPr>
    </w:p>
    <w:p w:rsidR="00620361" w:rsidRPr="007A4754" w:rsidRDefault="00620361" w:rsidP="00620361">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Jeigu apie šį vaistą norite sužinoti daugiau, kreipkitės į vietinį registruotojo atstovą.</w:t>
      </w:r>
    </w:p>
    <w:p w:rsidR="00620361" w:rsidRPr="007A4754" w:rsidRDefault="00620361" w:rsidP="00620361">
      <w:pPr>
        <w:spacing w:after="0" w:line="240" w:lineRule="auto"/>
        <w:rPr>
          <w:rFonts w:ascii="Times New Roman" w:eastAsia="Times New Roman" w:hAnsi="Times New Roman"/>
          <w:lang w:eastAsia="lt-LT"/>
        </w:rPr>
      </w:pPr>
    </w:p>
    <w:p w:rsidR="00620361" w:rsidRPr="007A4754" w:rsidRDefault="00620361" w:rsidP="00620361">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Pfizer Luxembourg SARL filialas Lietuvoje</w:t>
      </w:r>
    </w:p>
    <w:p w:rsidR="00620361" w:rsidRPr="007A4754" w:rsidRDefault="00620361" w:rsidP="00620361">
      <w:pPr>
        <w:spacing w:after="0" w:line="240" w:lineRule="auto"/>
        <w:rPr>
          <w:rFonts w:ascii="Times New Roman" w:eastAsia="Times New Roman" w:hAnsi="Times New Roman"/>
        </w:rPr>
      </w:pPr>
      <w:r w:rsidRPr="007A4754">
        <w:rPr>
          <w:rFonts w:ascii="Times New Roman" w:eastAsia="Times New Roman" w:hAnsi="Times New Roman"/>
        </w:rPr>
        <w:t>Goštauto 40a</w:t>
      </w:r>
    </w:p>
    <w:p w:rsidR="00620361" w:rsidRPr="007A4754" w:rsidRDefault="00620361" w:rsidP="00620361">
      <w:pPr>
        <w:spacing w:after="0" w:line="240" w:lineRule="auto"/>
        <w:rPr>
          <w:rFonts w:ascii="Times New Roman" w:eastAsia="Times New Roman" w:hAnsi="Times New Roman"/>
        </w:rPr>
      </w:pPr>
      <w:r w:rsidRPr="007A4754">
        <w:rPr>
          <w:rFonts w:ascii="Times New Roman" w:eastAsia="Times New Roman" w:hAnsi="Times New Roman"/>
        </w:rPr>
        <w:lastRenderedPageBreak/>
        <w:t>LT</w:t>
      </w:r>
      <w:r w:rsidRPr="007A4754">
        <w:rPr>
          <w:rFonts w:ascii="Times New Roman" w:eastAsia="Times New Roman" w:hAnsi="Times New Roman"/>
        </w:rPr>
        <w:noBreakHyphen/>
        <w:t>01112 Vilnius</w:t>
      </w:r>
    </w:p>
    <w:p w:rsidR="00620361" w:rsidRPr="007A4754" w:rsidRDefault="00620361" w:rsidP="00620361">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Tel. +370 5 2514000</w:t>
      </w:r>
    </w:p>
    <w:p w:rsidR="00620361" w:rsidRPr="007A4754" w:rsidRDefault="00620361" w:rsidP="00620361">
      <w:pPr>
        <w:spacing w:after="0" w:line="240" w:lineRule="auto"/>
        <w:rPr>
          <w:rFonts w:ascii="Times New Roman" w:eastAsia="Times New Roman" w:hAnsi="Times New Roman"/>
          <w:lang w:eastAsia="lt-LT"/>
        </w:rPr>
      </w:pPr>
    </w:p>
    <w:p w:rsidR="00620361" w:rsidRPr="007A4754" w:rsidRDefault="00620361" w:rsidP="00620361">
      <w:pPr>
        <w:spacing w:after="0" w:line="240" w:lineRule="auto"/>
        <w:rPr>
          <w:rFonts w:ascii="Times New Roman" w:eastAsia="Times New Roman" w:hAnsi="Times New Roman"/>
          <w:lang w:eastAsia="lt-LT"/>
        </w:rPr>
      </w:pPr>
    </w:p>
    <w:p w:rsidR="00620361" w:rsidRPr="007A4754" w:rsidRDefault="00620361" w:rsidP="00620361">
      <w:pPr>
        <w:spacing w:after="0" w:line="240" w:lineRule="auto"/>
        <w:rPr>
          <w:rFonts w:ascii="Times New Roman" w:eastAsia="Times New Roman" w:hAnsi="Times New Roman"/>
          <w:lang w:eastAsia="lt-LT"/>
        </w:rPr>
      </w:pPr>
      <w:r w:rsidRPr="007A4754">
        <w:rPr>
          <w:rFonts w:ascii="Times New Roman" w:eastAsia="Times New Roman" w:hAnsi="Times New Roman"/>
          <w:b/>
          <w:lang w:eastAsia="lt-LT"/>
        </w:rPr>
        <w:t>Šis pakuotės lapelis paskutinį kartą peržiūrėtas</w:t>
      </w:r>
      <w:r>
        <w:rPr>
          <w:rFonts w:ascii="Times New Roman" w:eastAsia="Times New Roman" w:hAnsi="Times New Roman"/>
          <w:b/>
          <w:lang w:eastAsia="lt-LT"/>
        </w:rPr>
        <w:t xml:space="preserve"> 2023-05-26.</w:t>
      </w:r>
      <w:r w:rsidRPr="007A4754" w:rsidDel="00635A25">
        <w:rPr>
          <w:rFonts w:ascii="Times New Roman" w:eastAsia="Times New Roman" w:hAnsi="Times New Roman"/>
          <w:b/>
          <w:lang w:eastAsia="lt-LT"/>
        </w:rPr>
        <w:t xml:space="preserve"> </w:t>
      </w:r>
    </w:p>
    <w:p w:rsidR="00620361" w:rsidRPr="007A4754" w:rsidRDefault="00620361" w:rsidP="00620361">
      <w:pPr>
        <w:spacing w:after="0" w:line="240" w:lineRule="auto"/>
        <w:rPr>
          <w:rFonts w:ascii="Times New Roman" w:eastAsia="Times New Roman" w:hAnsi="Times New Roman"/>
          <w:noProof/>
        </w:rPr>
      </w:pPr>
    </w:p>
    <w:p w:rsidR="00620361" w:rsidRPr="007A4754" w:rsidRDefault="00620361" w:rsidP="00620361">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 xml:space="preserve">Išsami informacija apie šį vaistą pateikiama Valstybinės vaistų kontrolės tarnybos prie Lietuvos Respublikos sveikatos apsaugos ministerijos tinklalapyje </w:t>
      </w:r>
      <w:hyperlink r:id="rId8" w:history="1">
        <w:r w:rsidRPr="007A4754">
          <w:rPr>
            <w:rFonts w:ascii="Times New Roman" w:eastAsia="Times New Roman" w:hAnsi="Times New Roman"/>
            <w:color w:val="0000FF"/>
            <w:u w:val="single"/>
            <w:lang w:eastAsia="lt-LT"/>
          </w:rPr>
          <w:t>http://www.vvkt.lt/</w:t>
        </w:r>
      </w:hyperlink>
    </w:p>
    <w:p w:rsidR="00620361" w:rsidRPr="007A4754" w:rsidRDefault="00620361" w:rsidP="00620361">
      <w:pPr>
        <w:spacing w:after="0" w:line="240" w:lineRule="auto"/>
        <w:rPr>
          <w:rFonts w:ascii="Times New Roman" w:eastAsia="Times New Roman" w:hAnsi="Times New Roman"/>
          <w:highlight w:val="yellow"/>
          <w:lang w:eastAsia="lt-LT"/>
        </w:rPr>
      </w:pPr>
      <w:r w:rsidRPr="007A4754">
        <w:rPr>
          <w:rFonts w:ascii="Times New Roman" w:eastAsia="Times New Roman" w:hAnsi="Times New Roman"/>
          <w:highlight w:val="yellow"/>
          <w:lang w:eastAsia="lt-LT"/>
        </w:rPr>
        <w:t xml:space="preserve"> </w:t>
      </w:r>
    </w:p>
    <w:p w:rsidR="00620361" w:rsidRPr="007A4754" w:rsidRDefault="00620361" w:rsidP="00620361">
      <w:pPr>
        <w:spacing w:after="0" w:line="240" w:lineRule="auto"/>
        <w:rPr>
          <w:rFonts w:ascii="Times New Roman" w:eastAsia="Times New Roman" w:hAnsi="Times New Roman"/>
          <w:lang w:eastAsia="lt-LT"/>
        </w:rPr>
      </w:pPr>
    </w:p>
    <w:p w:rsidR="009041DB" w:rsidRDefault="009041DB">
      <w:bookmarkStart w:id="0" w:name="_GoBack"/>
      <w:bookmarkEnd w:id="0"/>
    </w:p>
    <w:sectPr w:rsidR="009041DB">
      <w:headerReference w:type="default" r:id="rId9"/>
      <w:footerReference w:type="even" r:id="rId10"/>
      <w:footerReference w:type="default" r:id="rId11"/>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dve06613w">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80F" w:rsidRDefault="0062036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7D480F" w:rsidRDefault="0062036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80F" w:rsidRDefault="0062036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rsidR="007D480F" w:rsidRDefault="00620361">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80F" w:rsidRDefault="0062036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413DE"/>
    <w:multiLevelType w:val="hybridMultilevel"/>
    <w:tmpl w:val="C01A187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58228BF"/>
    <w:multiLevelType w:val="hybridMultilevel"/>
    <w:tmpl w:val="CF16F77C"/>
    <w:lvl w:ilvl="0" w:tplc="8046917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C6B6431"/>
    <w:multiLevelType w:val="hybridMultilevel"/>
    <w:tmpl w:val="F9F2539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B261BAC"/>
    <w:multiLevelType w:val="hybridMultilevel"/>
    <w:tmpl w:val="AB0EB06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C54581A"/>
    <w:multiLevelType w:val="singleLevel"/>
    <w:tmpl w:val="BDDC37F2"/>
    <w:lvl w:ilvl="0">
      <w:start w:val="6"/>
      <w:numFmt w:val="bullet"/>
      <w:lvlText w:val="-"/>
      <w:lvlJc w:val="left"/>
      <w:pPr>
        <w:ind w:left="360" w:hanging="360"/>
      </w:pPr>
      <w:rPr>
        <w:rFonts w:hint="default"/>
      </w:rPr>
    </w:lvl>
  </w:abstractNum>
  <w:abstractNum w:abstractNumId="5" w15:restartNumberingAfterBreak="0">
    <w:nsid w:val="6C1F2A03"/>
    <w:multiLevelType w:val="hybridMultilevel"/>
    <w:tmpl w:val="DBE0C7D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C627BFF"/>
    <w:multiLevelType w:val="hybridMultilevel"/>
    <w:tmpl w:val="68A289F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2"/>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361"/>
    <w:rsid w:val="00004415"/>
    <w:rsid w:val="00234094"/>
    <w:rsid w:val="002A211A"/>
    <w:rsid w:val="00344695"/>
    <w:rsid w:val="00356AB3"/>
    <w:rsid w:val="004216A4"/>
    <w:rsid w:val="005311B8"/>
    <w:rsid w:val="00620361"/>
    <w:rsid w:val="006860E9"/>
    <w:rsid w:val="007003F6"/>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944929-5CA4-4FFE-8299-682458D86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20361"/>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620361"/>
    <w:pPr>
      <w:tabs>
        <w:tab w:val="center" w:pos="4153"/>
        <w:tab w:val="right" w:pos="8306"/>
      </w:tabs>
      <w:spacing w:after="0" w:line="240" w:lineRule="auto"/>
    </w:pPr>
    <w:rPr>
      <w:rFonts w:ascii="Times New Roman" w:eastAsia="Times New Roman" w:hAnsi="Times New Roman"/>
      <w:szCs w:val="20"/>
      <w:lang w:eastAsia="lt-LT"/>
    </w:rPr>
  </w:style>
  <w:style w:type="character" w:customStyle="1" w:styleId="PoratDiagrama">
    <w:name w:val="Poraštė Diagrama"/>
    <w:basedOn w:val="Numatytasispastraiposriftas"/>
    <w:link w:val="Porat"/>
    <w:rsid w:val="00620361"/>
    <w:rPr>
      <w:rFonts w:ascii="Times New Roman" w:hAnsi="Times New Roman" w:cs="Times New Roman"/>
      <w:szCs w:val="20"/>
      <w:lang w:eastAsia="lt-LT"/>
    </w:rPr>
  </w:style>
  <w:style w:type="character" w:styleId="Puslapionumeris">
    <w:name w:val="page number"/>
    <w:basedOn w:val="Numatytasispastraiposriftas"/>
    <w:rsid w:val="00620361"/>
  </w:style>
  <w:style w:type="character" w:styleId="Hipersaitas">
    <w:name w:val="Hyperlink"/>
    <w:uiPriority w:val="99"/>
    <w:rsid w:val="00620361"/>
    <w:rPr>
      <w:color w:val="0000FF"/>
      <w:u w:val="single"/>
    </w:rPr>
  </w:style>
  <w:style w:type="paragraph" w:styleId="Antrats">
    <w:name w:val="header"/>
    <w:basedOn w:val="prastasis"/>
    <w:link w:val="AntratsDiagrama"/>
    <w:rsid w:val="00620361"/>
    <w:pPr>
      <w:tabs>
        <w:tab w:val="center" w:pos="4986"/>
        <w:tab w:val="right" w:pos="9972"/>
      </w:tabs>
      <w:spacing w:after="0" w:line="240" w:lineRule="auto"/>
    </w:pPr>
    <w:rPr>
      <w:rFonts w:ascii="Adve06613w" w:eastAsia="Times New Roman" w:hAnsi="Adve06613w"/>
      <w:szCs w:val="20"/>
    </w:rPr>
  </w:style>
  <w:style w:type="character" w:customStyle="1" w:styleId="AntratsDiagrama">
    <w:name w:val="Antraštės Diagrama"/>
    <w:basedOn w:val="Numatytasispastraiposriftas"/>
    <w:link w:val="Antrats"/>
    <w:rsid w:val="00620361"/>
    <w:rPr>
      <w:rFonts w:ascii="Adve06613w" w:hAnsi="Adve06613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2.xml"/><Relationship Id="rId5" Type="http://schemas.openxmlformats.org/officeDocument/2006/relationships/hyperlink" Target="https://vapris.vvkt.lt/vvkt-web/public/nr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6912</Words>
  <Characters>3940</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2023-05-29T05:58:00Z</dcterms:created>
  <dcterms:modified xsi:type="dcterms:W3CDTF">2023-05-29T05:58:00Z</dcterms:modified>
</cp:coreProperties>
</file>