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9C4" w:rsidRPr="009659B2" w:rsidRDefault="005B79C4" w:rsidP="005B79C4">
      <w:pPr>
        <w:tabs>
          <w:tab w:val="clear" w:pos="567"/>
        </w:tabs>
        <w:spacing w:line="240" w:lineRule="auto"/>
        <w:jc w:val="center"/>
        <w:outlineLvl w:val="0"/>
        <w:rPr>
          <w:b/>
          <w:noProof/>
          <w:szCs w:val="22"/>
          <w:lang w:val="lt-LT"/>
        </w:rPr>
      </w:pPr>
      <w:r w:rsidRPr="00A55E27">
        <w:rPr>
          <w:b/>
          <w:snapToGrid w:val="0"/>
          <w:szCs w:val="22"/>
          <w:lang w:val="lt-LT"/>
        </w:rPr>
        <w:t>Pakuotės lapelis:</w:t>
      </w:r>
      <w:r w:rsidRPr="00A55E27">
        <w:rPr>
          <w:b/>
          <w:bCs/>
          <w:iCs/>
          <w:snapToGrid w:val="0"/>
          <w:szCs w:val="22"/>
          <w:lang w:val="lt-LT"/>
        </w:rPr>
        <w:t xml:space="preserve"> </w:t>
      </w:r>
      <w:r w:rsidRPr="009659B2">
        <w:rPr>
          <w:b/>
          <w:snapToGrid w:val="0"/>
          <w:szCs w:val="22"/>
          <w:lang w:val="lt-LT"/>
        </w:rPr>
        <w:t xml:space="preserve">informacija </w:t>
      </w:r>
      <w:r w:rsidRPr="00A55E27">
        <w:rPr>
          <w:b/>
          <w:snapToGrid w:val="0"/>
          <w:szCs w:val="22"/>
          <w:lang w:val="lt-LT"/>
        </w:rPr>
        <w:t>vartotoju</w:t>
      </w:r>
      <w:r w:rsidRPr="009659B2">
        <w:rPr>
          <w:b/>
          <w:snapToGrid w:val="0"/>
          <w:szCs w:val="22"/>
          <w:lang w:val="lt-LT"/>
        </w:rPr>
        <w:t>i</w:t>
      </w:r>
    </w:p>
    <w:p w:rsidR="005B79C4" w:rsidRPr="009659B2" w:rsidRDefault="005B79C4" w:rsidP="005B79C4">
      <w:pPr>
        <w:tabs>
          <w:tab w:val="clear" w:pos="567"/>
        </w:tabs>
        <w:spacing w:line="240" w:lineRule="auto"/>
        <w:jc w:val="center"/>
        <w:outlineLvl w:val="0"/>
        <w:rPr>
          <w:b/>
          <w:noProof/>
          <w:szCs w:val="22"/>
          <w:lang w:val="lt-LT"/>
        </w:rPr>
      </w:pPr>
    </w:p>
    <w:p w:rsidR="005B79C4" w:rsidRPr="009659B2" w:rsidRDefault="005B79C4" w:rsidP="005B79C4">
      <w:pPr>
        <w:numPr>
          <w:ilvl w:val="12"/>
          <w:numId w:val="0"/>
        </w:numPr>
        <w:tabs>
          <w:tab w:val="clear" w:pos="567"/>
        </w:tabs>
        <w:spacing w:line="240" w:lineRule="auto"/>
        <w:jc w:val="center"/>
        <w:rPr>
          <w:b/>
          <w:bCs/>
          <w:noProof/>
          <w:szCs w:val="22"/>
          <w:lang w:val="lt-LT"/>
        </w:rPr>
      </w:pPr>
      <w:r w:rsidRPr="009659B2">
        <w:rPr>
          <w:b/>
          <w:bCs/>
          <w:noProof/>
          <w:szCs w:val="22"/>
          <w:lang w:val="lt-LT"/>
        </w:rPr>
        <w:t>Kalinor šnypščiosios tabletės</w:t>
      </w:r>
    </w:p>
    <w:p w:rsidR="005B79C4" w:rsidRPr="009659B2" w:rsidRDefault="005B79C4" w:rsidP="005B79C4">
      <w:pPr>
        <w:numPr>
          <w:ilvl w:val="12"/>
          <w:numId w:val="0"/>
        </w:numPr>
        <w:spacing w:line="240" w:lineRule="auto"/>
        <w:jc w:val="center"/>
        <w:rPr>
          <w:noProof/>
          <w:szCs w:val="22"/>
          <w:lang w:val="lt-LT"/>
        </w:rPr>
      </w:pPr>
      <w:r w:rsidRPr="009659B2">
        <w:rPr>
          <w:iCs/>
          <w:szCs w:val="22"/>
          <w:lang w:val="lt-LT"/>
        </w:rPr>
        <w:t>Kalio citratas, kalio-vandenilio karbonatas ir citrinų rūgštis</w:t>
      </w:r>
    </w:p>
    <w:p w:rsidR="005B79C4" w:rsidRPr="009659B2" w:rsidRDefault="005B79C4" w:rsidP="005B79C4">
      <w:pPr>
        <w:tabs>
          <w:tab w:val="clear" w:pos="567"/>
        </w:tabs>
        <w:spacing w:line="240" w:lineRule="auto"/>
        <w:jc w:val="center"/>
        <w:rPr>
          <w:noProof/>
          <w:szCs w:val="22"/>
          <w:lang w:val="lt-LT"/>
        </w:rPr>
      </w:pPr>
    </w:p>
    <w:p w:rsidR="005B79C4" w:rsidRPr="009659B2" w:rsidRDefault="005B79C4" w:rsidP="005B79C4">
      <w:pPr>
        <w:tabs>
          <w:tab w:val="clear" w:pos="567"/>
        </w:tabs>
        <w:spacing w:line="240" w:lineRule="auto"/>
        <w:rPr>
          <w:b/>
          <w:noProof/>
          <w:szCs w:val="22"/>
          <w:lang w:val="lt-LT"/>
        </w:rPr>
      </w:pPr>
      <w:r w:rsidRPr="009659B2">
        <w:rPr>
          <w:b/>
          <w:noProof/>
          <w:szCs w:val="22"/>
          <w:lang w:val="lt-LT"/>
        </w:rPr>
        <w:t>Atidžiai perskaitykite visą šį lapelį, prieš pradėdami vartoti vaistą</w:t>
      </w:r>
      <w:r w:rsidRPr="009659B2">
        <w:rPr>
          <w:b/>
          <w:noProof/>
          <w:snapToGrid w:val="0"/>
          <w:szCs w:val="22"/>
          <w:lang w:val="lt-LT"/>
        </w:rPr>
        <w:t>, nes jame pateikiama Jums svarbi informacija</w:t>
      </w:r>
      <w:r w:rsidRPr="009659B2">
        <w:rPr>
          <w:b/>
          <w:noProof/>
          <w:szCs w:val="22"/>
          <w:lang w:val="lt-LT"/>
        </w:rPr>
        <w:t>.</w:t>
      </w:r>
    </w:p>
    <w:p w:rsidR="005B79C4" w:rsidRPr="009659B2" w:rsidRDefault="005B79C4" w:rsidP="005B79C4">
      <w:pPr>
        <w:spacing w:line="240" w:lineRule="auto"/>
        <w:ind w:left="567" w:hanging="567"/>
        <w:rPr>
          <w:noProof/>
          <w:szCs w:val="22"/>
          <w:lang w:val="lt-LT"/>
        </w:rPr>
      </w:pPr>
      <w:r w:rsidRPr="009659B2">
        <w:rPr>
          <w:noProof/>
          <w:szCs w:val="22"/>
          <w:lang w:val="lt-LT"/>
        </w:rPr>
        <w:t>-</w:t>
      </w:r>
      <w:r w:rsidRPr="009659B2">
        <w:rPr>
          <w:noProof/>
          <w:szCs w:val="22"/>
          <w:lang w:val="lt-LT"/>
        </w:rPr>
        <w:tab/>
        <w:t>Neišmeskite šio lapelio, nes vėl gali prireikti jį perskaityti.</w:t>
      </w:r>
    </w:p>
    <w:p w:rsidR="005B79C4" w:rsidRPr="009659B2" w:rsidRDefault="005B79C4" w:rsidP="005B79C4">
      <w:pPr>
        <w:spacing w:line="240" w:lineRule="auto"/>
        <w:ind w:left="567" w:hanging="567"/>
        <w:rPr>
          <w:noProof/>
          <w:szCs w:val="22"/>
          <w:lang w:val="lt-LT"/>
        </w:rPr>
      </w:pPr>
      <w:r w:rsidRPr="009659B2">
        <w:rPr>
          <w:noProof/>
          <w:szCs w:val="22"/>
          <w:lang w:val="lt-LT"/>
        </w:rPr>
        <w:t>-</w:t>
      </w:r>
      <w:r w:rsidRPr="009659B2">
        <w:rPr>
          <w:noProof/>
          <w:szCs w:val="22"/>
          <w:lang w:val="lt-LT"/>
        </w:rPr>
        <w:tab/>
        <w:t>Jeigu kiltų daugiau klausimų, kreipkitės į gydytoją arba vaistininką.</w:t>
      </w:r>
    </w:p>
    <w:p w:rsidR="005B79C4" w:rsidRPr="009659B2" w:rsidRDefault="005B79C4" w:rsidP="005B79C4">
      <w:pPr>
        <w:numPr>
          <w:ilvl w:val="0"/>
          <w:numId w:val="1"/>
        </w:numPr>
        <w:spacing w:line="240" w:lineRule="auto"/>
        <w:ind w:left="567" w:hanging="567"/>
        <w:rPr>
          <w:noProof/>
          <w:szCs w:val="22"/>
          <w:lang w:val="lt-LT"/>
        </w:rPr>
      </w:pPr>
      <w:r w:rsidRPr="009659B2">
        <w:rPr>
          <w:noProof/>
          <w:szCs w:val="22"/>
          <w:lang w:val="lt-LT"/>
        </w:rPr>
        <w:t>Šis vaistas skirtas tik Jums, todėl kitiems žmonėms jo duoti negalima. Vaistas gali jiems pakenkti (net tiems, kurių ligos požymiai yra tokie patys kaip Jūsų).</w:t>
      </w:r>
    </w:p>
    <w:p w:rsidR="005B79C4" w:rsidRPr="009659B2" w:rsidRDefault="005B79C4" w:rsidP="005B79C4">
      <w:pPr>
        <w:numPr>
          <w:ilvl w:val="0"/>
          <w:numId w:val="1"/>
        </w:numPr>
        <w:spacing w:line="240" w:lineRule="auto"/>
        <w:ind w:left="567" w:hanging="567"/>
        <w:rPr>
          <w:noProof/>
          <w:szCs w:val="22"/>
          <w:lang w:val="lt-LT"/>
        </w:rPr>
      </w:pPr>
      <w:r w:rsidRPr="009659B2">
        <w:rPr>
          <w:noProof/>
          <w:szCs w:val="22"/>
          <w:lang w:val="lt-LT"/>
        </w:rPr>
        <w:t>Jeigu pasireiškė šalutinis poveikis (net jeigu jis šiame lapelyje nenurodytas), kreipkitės į gydytoją arba vaistininką. Žr. 4 skyrių.</w:t>
      </w:r>
    </w:p>
    <w:p w:rsidR="005B79C4" w:rsidRPr="009659B2" w:rsidRDefault="005B79C4" w:rsidP="005B79C4">
      <w:pPr>
        <w:spacing w:line="240" w:lineRule="auto"/>
        <w:rPr>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Apie ką rašoma šiame lapelyje?</w:t>
      </w:r>
    </w:p>
    <w:p w:rsidR="005B79C4" w:rsidRPr="009659B2" w:rsidRDefault="005B79C4" w:rsidP="005B79C4">
      <w:pPr>
        <w:spacing w:line="240" w:lineRule="auto"/>
        <w:ind w:left="567" w:hanging="567"/>
        <w:rPr>
          <w:b/>
          <w:noProof/>
          <w:szCs w:val="22"/>
          <w:lang w:val="lt-LT"/>
        </w:rPr>
      </w:pPr>
    </w:p>
    <w:p w:rsidR="005B79C4" w:rsidRPr="009659B2" w:rsidRDefault="005B79C4" w:rsidP="005B79C4">
      <w:pPr>
        <w:spacing w:line="240" w:lineRule="auto"/>
        <w:ind w:left="567" w:hanging="567"/>
        <w:rPr>
          <w:noProof/>
          <w:szCs w:val="22"/>
          <w:lang w:val="lt-LT"/>
        </w:rPr>
      </w:pPr>
      <w:r w:rsidRPr="009659B2">
        <w:rPr>
          <w:noProof/>
          <w:szCs w:val="22"/>
          <w:lang w:val="lt-LT"/>
        </w:rPr>
        <w:t>1.</w:t>
      </w:r>
      <w:r w:rsidRPr="009659B2">
        <w:rPr>
          <w:noProof/>
          <w:szCs w:val="22"/>
          <w:lang w:val="lt-LT"/>
        </w:rPr>
        <w:tab/>
        <w:t>Kas yra Kalinor ir kam jis vartojamas</w:t>
      </w:r>
    </w:p>
    <w:p w:rsidR="005B79C4" w:rsidRPr="009659B2" w:rsidRDefault="005B79C4" w:rsidP="005B79C4">
      <w:pPr>
        <w:spacing w:line="240" w:lineRule="auto"/>
        <w:ind w:left="567" w:hanging="567"/>
        <w:rPr>
          <w:noProof/>
          <w:szCs w:val="22"/>
          <w:lang w:val="lt-LT"/>
        </w:rPr>
      </w:pPr>
      <w:r w:rsidRPr="009659B2">
        <w:rPr>
          <w:noProof/>
          <w:szCs w:val="22"/>
          <w:lang w:val="lt-LT"/>
        </w:rPr>
        <w:t>2.</w:t>
      </w:r>
      <w:r w:rsidRPr="009659B2">
        <w:rPr>
          <w:noProof/>
          <w:szCs w:val="22"/>
          <w:lang w:val="lt-LT"/>
        </w:rPr>
        <w:tab/>
        <w:t>Kas žinotina prieš vartojant Kalinor</w:t>
      </w:r>
    </w:p>
    <w:p w:rsidR="005B79C4" w:rsidRPr="009659B2" w:rsidRDefault="005B79C4" w:rsidP="005B79C4">
      <w:pPr>
        <w:spacing w:line="240" w:lineRule="auto"/>
        <w:ind w:left="567" w:hanging="567"/>
        <w:rPr>
          <w:noProof/>
          <w:szCs w:val="22"/>
          <w:lang w:val="lt-LT"/>
        </w:rPr>
      </w:pPr>
      <w:r w:rsidRPr="009659B2">
        <w:rPr>
          <w:noProof/>
          <w:szCs w:val="22"/>
          <w:lang w:val="lt-LT"/>
        </w:rPr>
        <w:t>3.</w:t>
      </w:r>
      <w:r w:rsidRPr="009659B2">
        <w:rPr>
          <w:noProof/>
          <w:szCs w:val="22"/>
          <w:lang w:val="lt-LT"/>
        </w:rPr>
        <w:tab/>
        <w:t>Kaip vartoti Kalinor</w:t>
      </w:r>
    </w:p>
    <w:p w:rsidR="005B79C4" w:rsidRPr="009659B2" w:rsidRDefault="005B79C4" w:rsidP="005B79C4">
      <w:pPr>
        <w:spacing w:line="240" w:lineRule="auto"/>
        <w:ind w:left="567" w:hanging="567"/>
        <w:rPr>
          <w:noProof/>
          <w:szCs w:val="22"/>
          <w:lang w:val="lt-LT"/>
        </w:rPr>
      </w:pPr>
      <w:r w:rsidRPr="009659B2">
        <w:rPr>
          <w:noProof/>
          <w:szCs w:val="22"/>
          <w:lang w:val="lt-LT"/>
        </w:rPr>
        <w:t>4.</w:t>
      </w:r>
      <w:r w:rsidRPr="009659B2">
        <w:rPr>
          <w:noProof/>
          <w:szCs w:val="22"/>
          <w:lang w:val="lt-LT"/>
        </w:rPr>
        <w:tab/>
        <w:t>Galimas šalutinis poveikis</w:t>
      </w:r>
    </w:p>
    <w:p w:rsidR="005B79C4" w:rsidRPr="009659B2" w:rsidRDefault="005B79C4" w:rsidP="005B79C4">
      <w:pPr>
        <w:spacing w:line="240" w:lineRule="auto"/>
        <w:ind w:left="567" w:hanging="567"/>
        <w:rPr>
          <w:noProof/>
          <w:szCs w:val="22"/>
          <w:lang w:val="lt-LT"/>
        </w:rPr>
      </w:pPr>
      <w:r w:rsidRPr="009659B2">
        <w:rPr>
          <w:noProof/>
          <w:szCs w:val="22"/>
          <w:lang w:val="lt-LT"/>
        </w:rPr>
        <w:t>5.</w:t>
      </w:r>
      <w:r w:rsidRPr="009659B2">
        <w:rPr>
          <w:noProof/>
          <w:szCs w:val="22"/>
          <w:lang w:val="lt-LT"/>
        </w:rPr>
        <w:tab/>
        <w:t xml:space="preserve">Kaip laikyti Kalinor </w:t>
      </w:r>
    </w:p>
    <w:p w:rsidR="005B79C4" w:rsidRPr="009659B2" w:rsidRDefault="005B79C4" w:rsidP="005B79C4">
      <w:pPr>
        <w:spacing w:line="240" w:lineRule="auto"/>
        <w:ind w:left="567" w:hanging="567"/>
        <w:rPr>
          <w:noProof/>
          <w:szCs w:val="22"/>
          <w:lang w:val="lt-LT"/>
        </w:rPr>
      </w:pPr>
      <w:r w:rsidRPr="009659B2">
        <w:rPr>
          <w:noProof/>
          <w:szCs w:val="22"/>
          <w:lang w:val="lt-LT"/>
        </w:rPr>
        <w:t>6.</w:t>
      </w:r>
      <w:r w:rsidRPr="009659B2">
        <w:rPr>
          <w:noProof/>
          <w:szCs w:val="22"/>
          <w:lang w:val="lt-LT"/>
        </w:rPr>
        <w:tab/>
        <w:t>Pakuotės turinys ir kita informacija</w:t>
      </w: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numPr>
          <w:ilvl w:val="12"/>
          <w:numId w:val="0"/>
        </w:numPr>
        <w:spacing w:line="240" w:lineRule="auto"/>
        <w:ind w:left="567" w:hanging="567"/>
        <w:outlineLvl w:val="0"/>
        <w:rPr>
          <w:b/>
          <w:caps/>
          <w:noProof/>
          <w:szCs w:val="22"/>
          <w:lang w:val="lt-LT"/>
        </w:rPr>
      </w:pPr>
      <w:r w:rsidRPr="009659B2">
        <w:rPr>
          <w:b/>
          <w:noProof/>
          <w:szCs w:val="22"/>
          <w:lang w:val="lt-LT"/>
        </w:rPr>
        <w:t>1.</w:t>
      </w:r>
      <w:r w:rsidRPr="009659B2">
        <w:rPr>
          <w:b/>
          <w:noProof/>
          <w:szCs w:val="22"/>
          <w:lang w:val="lt-LT"/>
        </w:rPr>
        <w:tab/>
        <w:t>Kas yra Kalinor ir kam jis vartojamas</w:t>
      </w:r>
    </w:p>
    <w:p w:rsidR="005B79C4" w:rsidRPr="009659B2" w:rsidRDefault="005B79C4" w:rsidP="005B79C4">
      <w:pPr>
        <w:spacing w:line="240" w:lineRule="auto"/>
        <w:ind w:left="567" w:hanging="567"/>
        <w:rPr>
          <w:noProof/>
          <w:szCs w:val="22"/>
          <w:lang w:val="lt-LT"/>
        </w:rPr>
      </w:pPr>
    </w:p>
    <w:p w:rsidR="005B79C4" w:rsidRPr="009659B2" w:rsidRDefault="005B79C4" w:rsidP="005B79C4">
      <w:pPr>
        <w:spacing w:line="240" w:lineRule="auto"/>
        <w:rPr>
          <w:noProof/>
          <w:szCs w:val="22"/>
          <w:lang w:val="lt-LT"/>
        </w:rPr>
      </w:pPr>
      <w:r w:rsidRPr="009659B2">
        <w:rPr>
          <w:noProof/>
          <w:szCs w:val="22"/>
          <w:lang w:val="lt-LT"/>
        </w:rPr>
        <w:t>Kalinor priklauso mineralinių medžiagų grupei (skirtas sureguliuoti kalio pusiausvyrai).</w:t>
      </w: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tabs>
          <w:tab w:val="clear" w:pos="567"/>
        </w:tabs>
        <w:spacing w:line="240" w:lineRule="auto"/>
        <w:rPr>
          <w:noProof/>
          <w:szCs w:val="22"/>
          <w:lang w:val="lt-LT"/>
        </w:rPr>
      </w:pPr>
      <w:r w:rsidRPr="009659B2">
        <w:rPr>
          <w:szCs w:val="22"/>
          <w:lang w:val="lt-LT"/>
        </w:rPr>
        <w:t>Lengvo ir vidutinio sunkumo kalio trūkumo organizme gydymas ir profilaktika.</w:t>
      </w: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numPr>
          <w:ilvl w:val="12"/>
          <w:numId w:val="0"/>
        </w:numPr>
        <w:spacing w:line="240" w:lineRule="auto"/>
        <w:ind w:left="567" w:hanging="567"/>
        <w:outlineLvl w:val="0"/>
        <w:rPr>
          <w:b/>
          <w:caps/>
          <w:noProof/>
          <w:szCs w:val="22"/>
          <w:lang w:val="lt-LT"/>
        </w:rPr>
      </w:pPr>
      <w:r w:rsidRPr="009659B2">
        <w:rPr>
          <w:b/>
          <w:noProof/>
          <w:szCs w:val="22"/>
          <w:lang w:val="lt-LT"/>
        </w:rPr>
        <w:t>2.</w:t>
      </w:r>
      <w:r w:rsidRPr="009659B2">
        <w:rPr>
          <w:b/>
          <w:noProof/>
          <w:szCs w:val="22"/>
          <w:lang w:val="lt-LT"/>
        </w:rPr>
        <w:tab/>
        <w:t>Kas žinotina prieš vartojant Kalinor</w:t>
      </w:r>
    </w:p>
    <w:p w:rsidR="005B79C4" w:rsidRPr="009659B2" w:rsidRDefault="005B79C4" w:rsidP="005B79C4">
      <w:pPr>
        <w:spacing w:line="240" w:lineRule="auto"/>
        <w:ind w:left="567" w:hanging="567"/>
        <w:rPr>
          <w:noProof/>
          <w:szCs w:val="22"/>
          <w:lang w:val="lt-LT"/>
        </w:rPr>
      </w:pPr>
    </w:p>
    <w:p w:rsidR="005B79C4" w:rsidRPr="009659B2" w:rsidRDefault="005B79C4" w:rsidP="005B79C4">
      <w:pPr>
        <w:spacing w:line="240" w:lineRule="auto"/>
        <w:ind w:left="567" w:hanging="567"/>
        <w:rPr>
          <w:b/>
          <w:bCs/>
          <w:noProof/>
          <w:szCs w:val="22"/>
          <w:lang w:val="lt-LT"/>
        </w:rPr>
      </w:pPr>
      <w:r w:rsidRPr="009659B2">
        <w:rPr>
          <w:b/>
          <w:bCs/>
          <w:noProof/>
          <w:szCs w:val="22"/>
          <w:lang w:val="lt-LT"/>
        </w:rPr>
        <w:t>Kalinor vartoti negalima:</w:t>
      </w:r>
    </w:p>
    <w:p w:rsidR="005B79C4" w:rsidRPr="009659B2" w:rsidRDefault="005B79C4" w:rsidP="005B79C4">
      <w:pPr>
        <w:numPr>
          <w:ilvl w:val="0"/>
          <w:numId w:val="2"/>
        </w:numPr>
        <w:tabs>
          <w:tab w:val="clear" w:pos="340"/>
          <w:tab w:val="num" w:pos="567"/>
        </w:tabs>
        <w:spacing w:line="240" w:lineRule="auto"/>
        <w:ind w:left="567" w:hanging="567"/>
        <w:rPr>
          <w:noProof/>
          <w:szCs w:val="22"/>
          <w:lang w:val="lt-LT"/>
        </w:rPr>
      </w:pPr>
      <w:r w:rsidRPr="009659B2">
        <w:rPr>
          <w:noProof/>
          <w:szCs w:val="22"/>
          <w:lang w:val="lt-LT"/>
        </w:rPr>
        <w:t>jeigu yra alergija kalio citratui, kalio-vandenilio karbonatui, citrinų rūgščiai arba bet kuriai pagalbinei šio vaisto medžiagai (jos išvardytos 6 skyriuje);</w:t>
      </w:r>
    </w:p>
    <w:p w:rsidR="005B79C4" w:rsidRPr="009659B2" w:rsidRDefault="005B79C4" w:rsidP="005B79C4">
      <w:pPr>
        <w:numPr>
          <w:ilvl w:val="0"/>
          <w:numId w:val="2"/>
        </w:numPr>
        <w:tabs>
          <w:tab w:val="clear" w:pos="340"/>
          <w:tab w:val="num" w:pos="567"/>
        </w:tabs>
        <w:spacing w:line="240" w:lineRule="auto"/>
        <w:ind w:left="567" w:hanging="567"/>
        <w:rPr>
          <w:szCs w:val="22"/>
          <w:lang w:val="lt-LT"/>
        </w:rPr>
      </w:pPr>
      <w:r w:rsidRPr="009659B2">
        <w:rPr>
          <w:noProof/>
          <w:szCs w:val="22"/>
          <w:lang w:val="lt-LT"/>
        </w:rPr>
        <w:t xml:space="preserve">jeigu </w:t>
      </w:r>
      <w:r w:rsidRPr="009659B2">
        <w:rPr>
          <w:szCs w:val="22"/>
          <w:lang w:val="lt-LT"/>
        </w:rPr>
        <w:t>sergate ligoms, kurioms dažnai būdingas didesnis nei normalus kalio kiekis kraujyje (hiperkalemija), įskaitant ir tuos atvejus, kai yra:</w:t>
      </w:r>
    </w:p>
    <w:p w:rsidR="005B79C4" w:rsidRPr="009659B2" w:rsidRDefault="005B79C4" w:rsidP="005B79C4">
      <w:pPr>
        <w:numPr>
          <w:ilvl w:val="0"/>
          <w:numId w:val="2"/>
        </w:numPr>
        <w:tabs>
          <w:tab w:val="clear" w:pos="340"/>
          <w:tab w:val="clear" w:pos="567"/>
          <w:tab w:val="num" w:pos="993"/>
        </w:tabs>
        <w:spacing w:line="240" w:lineRule="auto"/>
        <w:ind w:left="993" w:hanging="426"/>
        <w:rPr>
          <w:szCs w:val="22"/>
          <w:lang w:val="lt-LT"/>
        </w:rPr>
      </w:pPr>
      <w:r w:rsidRPr="009659B2">
        <w:rPr>
          <w:iCs/>
          <w:szCs w:val="22"/>
          <w:lang w:val="lt-LT"/>
        </w:rPr>
        <w:t>dehidracija</w:t>
      </w:r>
      <w:r w:rsidRPr="009659B2">
        <w:rPr>
          <w:szCs w:val="22"/>
          <w:lang w:val="lt-LT"/>
        </w:rPr>
        <w:t xml:space="preserve"> (kai organizme stinga vandens, o ši stoka yra vandens ir elektrolitų pusiausvyros sutrikimo pasekmė),</w:t>
      </w:r>
    </w:p>
    <w:p w:rsidR="005B79C4" w:rsidRPr="009659B2" w:rsidRDefault="005B79C4" w:rsidP="005B79C4">
      <w:pPr>
        <w:numPr>
          <w:ilvl w:val="0"/>
          <w:numId w:val="2"/>
        </w:numPr>
        <w:tabs>
          <w:tab w:val="clear" w:pos="340"/>
          <w:tab w:val="clear" w:pos="567"/>
          <w:tab w:val="num" w:pos="993"/>
        </w:tabs>
        <w:spacing w:line="240" w:lineRule="auto"/>
        <w:ind w:left="993" w:hanging="426"/>
        <w:rPr>
          <w:szCs w:val="22"/>
          <w:lang w:val="lt-LT"/>
        </w:rPr>
      </w:pPr>
      <w:r w:rsidRPr="009659B2">
        <w:rPr>
          <w:iCs/>
          <w:szCs w:val="22"/>
          <w:lang w:val="lt-LT"/>
        </w:rPr>
        <w:t xml:space="preserve">išskiriamosios inkstų funkcijos nepakankamumas </w:t>
      </w:r>
      <w:r w:rsidRPr="009659B2">
        <w:rPr>
          <w:szCs w:val="22"/>
          <w:lang w:val="lt-LT"/>
        </w:rPr>
        <w:t>(susilpnėjęs medžiagų išsiskyrimas per inkstus),</w:t>
      </w:r>
    </w:p>
    <w:p w:rsidR="005B79C4" w:rsidRPr="009659B2" w:rsidRDefault="005B79C4" w:rsidP="005B79C4">
      <w:pPr>
        <w:numPr>
          <w:ilvl w:val="0"/>
          <w:numId w:val="2"/>
        </w:numPr>
        <w:tabs>
          <w:tab w:val="clear" w:pos="340"/>
          <w:tab w:val="clear" w:pos="567"/>
          <w:tab w:val="num" w:pos="993"/>
        </w:tabs>
        <w:spacing w:line="240" w:lineRule="auto"/>
        <w:ind w:left="993" w:hanging="426"/>
        <w:rPr>
          <w:szCs w:val="22"/>
          <w:lang w:val="lt-LT"/>
        </w:rPr>
      </w:pPr>
      <w:r w:rsidRPr="009659B2">
        <w:rPr>
          <w:iCs/>
          <w:szCs w:val="22"/>
          <w:lang w:val="lt-LT"/>
        </w:rPr>
        <w:t>Adisono liga</w:t>
      </w:r>
      <w:r w:rsidRPr="009659B2">
        <w:rPr>
          <w:szCs w:val="22"/>
          <w:lang w:val="lt-LT"/>
        </w:rPr>
        <w:t xml:space="preserve"> („bronzinė liga“, antinksčių žievės funkcijos nepakankamumas),</w:t>
      </w:r>
    </w:p>
    <w:p w:rsidR="005B79C4" w:rsidRPr="009659B2" w:rsidRDefault="005B79C4" w:rsidP="005B79C4">
      <w:pPr>
        <w:numPr>
          <w:ilvl w:val="0"/>
          <w:numId w:val="2"/>
        </w:numPr>
        <w:tabs>
          <w:tab w:val="clear" w:pos="340"/>
          <w:tab w:val="clear" w:pos="567"/>
          <w:tab w:val="num" w:pos="993"/>
        </w:tabs>
        <w:spacing w:line="240" w:lineRule="auto"/>
        <w:ind w:left="993" w:hanging="426"/>
        <w:rPr>
          <w:szCs w:val="22"/>
          <w:lang w:val="lt-LT"/>
        </w:rPr>
      </w:pPr>
      <w:r w:rsidRPr="009659B2">
        <w:rPr>
          <w:iCs/>
          <w:szCs w:val="22"/>
          <w:lang w:val="lt-LT"/>
        </w:rPr>
        <w:t xml:space="preserve">paveldimoji epizodinė adinamija </w:t>
      </w:r>
      <w:r w:rsidRPr="009659B2">
        <w:rPr>
          <w:szCs w:val="22"/>
          <w:lang w:val="lt-LT"/>
        </w:rPr>
        <w:t>(</w:t>
      </w:r>
      <w:r w:rsidRPr="009659B2">
        <w:rPr>
          <w:iCs/>
          <w:szCs w:val="22"/>
          <w:lang w:val="lt-LT"/>
        </w:rPr>
        <w:t>Gamstorpo sindromas</w:t>
      </w:r>
      <w:r w:rsidRPr="009659B2">
        <w:rPr>
          <w:szCs w:val="22"/>
          <w:lang w:val="lt-LT"/>
        </w:rPr>
        <w:t>, reta paveldima liga, kuriai būdingi priepuoliniai paralyžiai, kai kraujyje padaugėja kalio).</w:t>
      </w:r>
    </w:p>
    <w:p w:rsidR="005B79C4" w:rsidRPr="009659B2" w:rsidRDefault="005B79C4" w:rsidP="005B79C4">
      <w:pPr>
        <w:spacing w:line="240" w:lineRule="auto"/>
        <w:ind w:left="567" w:hanging="567"/>
        <w:rPr>
          <w:noProof/>
          <w:szCs w:val="22"/>
          <w:lang w:val="lt-LT"/>
        </w:rPr>
      </w:pPr>
    </w:p>
    <w:p w:rsidR="005B79C4" w:rsidRPr="009659B2" w:rsidRDefault="005B79C4" w:rsidP="005B79C4">
      <w:pPr>
        <w:keepNext/>
        <w:jc w:val="both"/>
        <w:outlineLvl w:val="3"/>
        <w:rPr>
          <w:b/>
          <w:bCs/>
          <w:snapToGrid w:val="0"/>
          <w:szCs w:val="22"/>
          <w:lang w:val="lt-LT" w:eastAsia="x-none"/>
        </w:rPr>
      </w:pPr>
      <w:r w:rsidRPr="009659B2">
        <w:rPr>
          <w:b/>
          <w:bCs/>
          <w:snapToGrid w:val="0"/>
          <w:szCs w:val="22"/>
          <w:lang w:val="lt-LT" w:eastAsia="x-none"/>
        </w:rPr>
        <w:t xml:space="preserve">Įspėjimai ir atsargumo priemonės </w:t>
      </w:r>
    </w:p>
    <w:p w:rsidR="005B79C4" w:rsidRPr="009659B2" w:rsidRDefault="005B79C4" w:rsidP="005B79C4">
      <w:pPr>
        <w:numPr>
          <w:ilvl w:val="12"/>
          <w:numId w:val="0"/>
        </w:numPr>
        <w:tabs>
          <w:tab w:val="clear" w:pos="567"/>
        </w:tabs>
        <w:spacing w:line="240" w:lineRule="auto"/>
        <w:ind w:right="-2"/>
        <w:rPr>
          <w:snapToGrid w:val="0"/>
          <w:szCs w:val="22"/>
          <w:lang w:val="lt-LT"/>
        </w:rPr>
      </w:pPr>
      <w:r w:rsidRPr="009659B2">
        <w:rPr>
          <w:noProof/>
          <w:snapToGrid w:val="0"/>
          <w:szCs w:val="22"/>
          <w:lang w:val="lt-LT"/>
        </w:rPr>
        <w:t>Pasitarkite su gydytoju arba vaistininku, prieš pradėdami vartoti Kalinor.</w:t>
      </w:r>
    </w:p>
    <w:p w:rsidR="005B79C4" w:rsidRPr="009659B2" w:rsidRDefault="005B79C4" w:rsidP="005B79C4">
      <w:pPr>
        <w:spacing w:line="240" w:lineRule="auto"/>
        <w:ind w:left="567" w:hanging="567"/>
        <w:rPr>
          <w:b/>
          <w:noProof/>
          <w:szCs w:val="22"/>
          <w:lang w:val="lt-LT"/>
        </w:rPr>
      </w:pPr>
    </w:p>
    <w:p w:rsidR="005B79C4" w:rsidRPr="009659B2" w:rsidRDefault="005B79C4" w:rsidP="005B79C4">
      <w:pPr>
        <w:spacing w:line="240" w:lineRule="auto"/>
        <w:rPr>
          <w:szCs w:val="22"/>
          <w:lang w:val="lt-LT"/>
        </w:rPr>
      </w:pPr>
      <w:r w:rsidRPr="009659B2">
        <w:rPr>
          <w:szCs w:val="22"/>
          <w:lang w:val="lt-LT"/>
        </w:rPr>
        <w:t xml:space="preserve">Prieš pradedant vartoti vaisto, reikia ištirti mineralinių medžiagų, taip pat rūgščių ir šarmų pusiausvyrą </w:t>
      </w:r>
      <w:r w:rsidRPr="009659B2">
        <w:rPr>
          <w:iCs/>
          <w:szCs w:val="22"/>
          <w:lang w:val="lt-LT"/>
        </w:rPr>
        <w:t>(elektrolitų ir rūgščių-šarmų balansą)</w:t>
      </w:r>
      <w:r w:rsidRPr="009659B2">
        <w:rPr>
          <w:szCs w:val="22"/>
          <w:lang w:val="lt-LT"/>
        </w:rPr>
        <w:t>, širdies ritmą ir (ypač vyresniems pacientams) inkstų funkciją. Visus šiuos rodiklius iš pradžių būtina kontroliuoti dažniau, vėliau – rečiau.</w:t>
      </w:r>
    </w:p>
    <w:p w:rsidR="005B79C4" w:rsidRPr="009659B2" w:rsidRDefault="005B79C4" w:rsidP="005B79C4">
      <w:pPr>
        <w:spacing w:line="240" w:lineRule="auto"/>
        <w:rPr>
          <w:b/>
          <w:noProof/>
          <w:szCs w:val="22"/>
          <w:lang w:val="lt-LT"/>
        </w:rPr>
      </w:pPr>
    </w:p>
    <w:p w:rsidR="005B79C4" w:rsidRPr="009659B2" w:rsidRDefault="005B79C4" w:rsidP="005B79C4">
      <w:pPr>
        <w:spacing w:line="240" w:lineRule="auto"/>
        <w:rPr>
          <w:noProof/>
          <w:szCs w:val="22"/>
          <w:lang w:val="lt-LT"/>
        </w:rPr>
      </w:pPr>
      <w:r w:rsidRPr="009659B2">
        <w:rPr>
          <w:noProof/>
          <w:szCs w:val="22"/>
          <w:lang w:val="lt-LT"/>
        </w:rPr>
        <w:t>Kalinor reikia vartoti ypač atsargiai šiais atvejais:</w:t>
      </w:r>
    </w:p>
    <w:p w:rsidR="005B79C4" w:rsidRPr="009659B2" w:rsidRDefault="005B79C4" w:rsidP="005B79C4">
      <w:pPr>
        <w:numPr>
          <w:ilvl w:val="12"/>
          <w:numId w:val="0"/>
        </w:numPr>
        <w:spacing w:line="240" w:lineRule="auto"/>
        <w:ind w:left="567" w:hanging="567"/>
        <w:rPr>
          <w:noProof/>
          <w:szCs w:val="22"/>
          <w:lang w:val="lt-LT"/>
        </w:rPr>
      </w:pPr>
      <w:r w:rsidRPr="009659B2">
        <w:rPr>
          <w:noProof/>
          <w:szCs w:val="22"/>
          <w:lang w:val="lt-LT"/>
        </w:rPr>
        <w:t>-</w:t>
      </w:r>
      <w:r w:rsidRPr="009659B2">
        <w:rPr>
          <w:noProof/>
          <w:szCs w:val="22"/>
          <w:lang w:val="lt-LT"/>
        </w:rPr>
        <w:tab/>
        <w:t xml:space="preserve">jeigu </w:t>
      </w:r>
      <w:r w:rsidRPr="009659B2">
        <w:rPr>
          <w:szCs w:val="22"/>
          <w:lang w:val="lt-LT"/>
        </w:rPr>
        <w:t>sergama pjautuvine mažakraujyste (hemoglobino gamybos sutrikimu, kuris pasitaiko beveik vien tik juodosios rasės žmonėms);</w:t>
      </w:r>
    </w:p>
    <w:p w:rsidR="005B79C4" w:rsidRPr="009659B2" w:rsidRDefault="005B79C4" w:rsidP="005B79C4">
      <w:pPr>
        <w:numPr>
          <w:ilvl w:val="0"/>
          <w:numId w:val="1"/>
        </w:numPr>
        <w:spacing w:line="240" w:lineRule="auto"/>
        <w:ind w:left="567" w:hanging="567"/>
        <w:rPr>
          <w:noProof/>
          <w:szCs w:val="22"/>
          <w:lang w:val="lt-LT"/>
        </w:rPr>
      </w:pPr>
      <w:r w:rsidRPr="009659B2">
        <w:rPr>
          <w:noProof/>
          <w:szCs w:val="22"/>
          <w:lang w:val="lt-LT"/>
        </w:rPr>
        <w:t xml:space="preserve">kai </w:t>
      </w:r>
      <w:r w:rsidRPr="009659B2">
        <w:rPr>
          <w:szCs w:val="22"/>
          <w:lang w:val="lt-LT"/>
        </w:rPr>
        <w:t>pacientas tuo pat metu gydomas:</w:t>
      </w:r>
      <w:r w:rsidRPr="009659B2">
        <w:rPr>
          <w:noProof/>
          <w:szCs w:val="22"/>
          <w:lang w:val="lt-LT"/>
        </w:rPr>
        <w:t xml:space="preserve"> </w:t>
      </w:r>
    </w:p>
    <w:p w:rsidR="005B79C4" w:rsidRPr="009659B2" w:rsidRDefault="005B79C4" w:rsidP="005B79C4">
      <w:pPr>
        <w:numPr>
          <w:ilvl w:val="0"/>
          <w:numId w:val="1"/>
        </w:numPr>
        <w:spacing w:line="240" w:lineRule="auto"/>
        <w:ind w:left="567" w:hanging="567"/>
        <w:rPr>
          <w:noProof/>
          <w:szCs w:val="22"/>
          <w:lang w:val="lt-LT"/>
        </w:rPr>
      </w:pPr>
      <w:r w:rsidRPr="009659B2">
        <w:rPr>
          <w:szCs w:val="22"/>
          <w:lang w:val="lt-LT"/>
        </w:rPr>
        <w:lastRenderedPageBreak/>
        <w:t xml:space="preserve">vaistais, veikiančiais panašiai kaip ir atropinas (šunvyšnės ekstraktas) </w:t>
      </w:r>
      <w:r w:rsidRPr="009659B2">
        <w:rPr>
          <w:iCs/>
          <w:szCs w:val="22"/>
          <w:lang w:val="lt-LT"/>
        </w:rPr>
        <w:t>(anticholinerginiais vaistais),</w:t>
      </w:r>
    </w:p>
    <w:p w:rsidR="005B79C4" w:rsidRPr="009659B2" w:rsidRDefault="005B79C4" w:rsidP="005B79C4">
      <w:pPr>
        <w:numPr>
          <w:ilvl w:val="0"/>
          <w:numId w:val="1"/>
        </w:numPr>
        <w:spacing w:line="240" w:lineRule="auto"/>
        <w:ind w:left="567" w:hanging="567"/>
        <w:rPr>
          <w:noProof/>
          <w:szCs w:val="22"/>
          <w:lang w:val="lt-LT"/>
        </w:rPr>
      </w:pPr>
      <w:r w:rsidRPr="009659B2">
        <w:rPr>
          <w:iCs/>
          <w:szCs w:val="22"/>
          <w:lang w:val="lt-LT"/>
        </w:rPr>
        <w:t>kalį sulaikančiais diuretikais,</w:t>
      </w:r>
    </w:p>
    <w:p w:rsidR="005B79C4" w:rsidRPr="009659B2" w:rsidRDefault="005B79C4" w:rsidP="005B79C4">
      <w:pPr>
        <w:numPr>
          <w:ilvl w:val="0"/>
          <w:numId w:val="1"/>
        </w:numPr>
        <w:spacing w:line="240" w:lineRule="auto"/>
        <w:ind w:left="567" w:hanging="567"/>
        <w:rPr>
          <w:noProof/>
          <w:szCs w:val="22"/>
          <w:lang w:val="lt-LT"/>
        </w:rPr>
      </w:pPr>
      <w:r w:rsidRPr="009659B2">
        <w:rPr>
          <w:szCs w:val="22"/>
          <w:lang w:val="lt-LT"/>
        </w:rPr>
        <w:t xml:space="preserve">antinksčių žievės hormonų veikimą nutraukiančiais vaistais </w:t>
      </w:r>
      <w:r w:rsidRPr="009659B2">
        <w:rPr>
          <w:iCs/>
          <w:szCs w:val="22"/>
          <w:lang w:val="lt-LT"/>
        </w:rPr>
        <w:t>(aldosterono antagonistais),</w:t>
      </w:r>
    </w:p>
    <w:p w:rsidR="005B79C4" w:rsidRPr="009659B2" w:rsidRDefault="005B79C4" w:rsidP="005B79C4">
      <w:pPr>
        <w:numPr>
          <w:ilvl w:val="0"/>
          <w:numId w:val="1"/>
        </w:numPr>
        <w:spacing w:line="240" w:lineRule="auto"/>
        <w:ind w:left="567" w:hanging="567"/>
        <w:rPr>
          <w:noProof/>
          <w:szCs w:val="22"/>
          <w:lang w:val="lt-LT"/>
        </w:rPr>
      </w:pPr>
      <w:r w:rsidRPr="009659B2">
        <w:rPr>
          <w:szCs w:val="22"/>
          <w:lang w:val="lt-LT"/>
        </w:rPr>
        <w:t xml:space="preserve">tam tikrais kraujospūdį mažinančiais vaistais </w:t>
      </w:r>
      <w:r w:rsidRPr="009659B2">
        <w:rPr>
          <w:iCs/>
          <w:szCs w:val="22"/>
          <w:lang w:val="lt-LT"/>
        </w:rPr>
        <w:t>(AKF-inhibitoriais),</w:t>
      </w:r>
    </w:p>
    <w:p w:rsidR="005B79C4" w:rsidRPr="009659B2" w:rsidRDefault="005B79C4" w:rsidP="005B79C4">
      <w:pPr>
        <w:numPr>
          <w:ilvl w:val="0"/>
          <w:numId w:val="1"/>
        </w:numPr>
        <w:spacing w:line="240" w:lineRule="auto"/>
        <w:ind w:left="567" w:hanging="567"/>
        <w:rPr>
          <w:noProof/>
          <w:szCs w:val="22"/>
          <w:lang w:val="lt-LT"/>
        </w:rPr>
      </w:pPr>
      <w:r w:rsidRPr="009659B2">
        <w:rPr>
          <w:szCs w:val="22"/>
          <w:lang w:val="lt-LT"/>
        </w:rPr>
        <w:t>inkstus pažeisti galinčiais vaistais, pavyzdžiui, skausmą malšinančiais ir reumatinėms ligoms gydyti vartojamais vaistais (</w:t>
      </w:r>
      <w:r w:rsidRPr="009659B2">
        <w:rPr>
          <w:iCs/>
          <w:szCs w:val="22"/>
          <w:lang w:val="lt-LT"/>
        </w:rPr>
        <w:t xml:space="preserve">nesteroidiniais </w:t>
      </w:r>
      <w:r w:rsidRPr="009659B2">
        <w:rPr>
          <w:szCs w:val="22"/>
          <w:lang w:val="lt-LT"/>
        </w:rPr>
        <w:t xml:space="preserve">vaistais </w:t>
      </w:r>
      <w:r w:rsidRPr="009659B2">
        <w:rPr>
          <w:iCs/>
          <w:szCs w:val="22"/>
          <w:lang w:val="lt-LT"/>
        </w:rPr>
        <w:t xml:space="preserve">nuo uždegimo, heparinu </w:t>
      </w:r>
      <w:r w:rsidRPr="009659B2">
        <w:rPr>
          <w:szCs w:val="22"/>
          <w:lang w:val="lt-LT"/>
        </w:rPr>
        <w:t>ir kt.).</w:t>
      </w: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numPr>
          <w:ilvl w:val="12"/>
          <w:numId w:val="0"/>
        </w:numPr>
        <w:tabs>
          <w:tab w:val="clear" w:pos="567"/>
        </w:tabs>
        <w:spacing w:line="240" w:lineRule="auto"/>
        <w:rPr>
          <w:szCs w:val="22"/>
          <w:lang w:val="lt-LT"/>
        </w:rPr>
      </w:pPr>
      <w:r w:rsidRPr="009659B2">
        <w:rPr>
          <w:szCs w:val="22"/>
          <w:lang w:val="lt-LT"/>
        </w:rPr>
        <w:t>Dėl sąveikos su pastaraisiais vaistais, staigaus kraujo parūgštėjimo (acidozės), ūmiai sutrikusios inkstų veiklos ar dėl kokios nors kitos priežasties, kalio kiekis kraujyje gali atsitiktinai staiga padidėti ir tapti didesnis nei normalus (</w:t>
      </w:r>
      <w:r w:rsidRPr="009659B2">
        <w:rPr>
          <w:iCs/>
          <w:szCs w:val="22"/>
          <w:lang w:val="lt-LT"/>
        </w:rPr>
        <w:t>gali išryškėti hiperkalemija</w:t>
      </w:r>
      <w:r w:rsidRPr="009659B2">
        <w:rPr>
          <w:szCs w:val="22"/>
          <w:lang w:val="lt-LT"/>
        </w:rPr>
        <w:t>). Gydytojas, paskyręs kalio preparatų, gali reguliariai sekti kalio koncentraciją kraujyje, ypač, jei sergate širdies ir (arba) inkstų ligomis.</w:t>
      </w:r>
    </w:p>
    <w:p w:rsidR="005B79C4" w:rsidRPr="009659B2" w:rsidRDefault="005B79C4" w:rsidP="005B79C4">
      <w:pPr>
        <w:tabs>
          <w:tab w:val="clear" w:pos="567"/>
          <w:tab w:val="left" w:pos="1785"/>
        </w:tabs>
        <w:spacing w:line="240" w:lineRule="auto"/>
        <w:rPr>
          <w:szCs w:val="22"/>
          <w:lang w:val="lt-LT"/>
        </w:rPr>
      </w:pPr>
    </w:p>
    <w:p w:rsidR="005B79C4" w:rsidRPr="009659B2" w:rsidRDefault="005B79C4" w:rsidP="005B79C4">
      <w:pPr>
        <w:tabs>
          <w:tab w:val="clear" w:pos="567"/>
          <w:tab w:val="left" w:pos="1785"/>
        </w:tabs>
        <w:spacing w:line="240" w:lineRule="auto"/>
        <w:rPr>
          <w:szCs w:val="22"/>
          <w:lang w:val="lt-LT"/>
        </w:rPr>
      </w:pPr>
      <w:r w:rsidRPr="009659B2">
        <w:rPr>
          <w:szCs w:val="22"/>
          <w:lang w:val="lt-LT"/>
        </w:rPr>
        <w:t>Vartokite atsargiai, jei sergate širdies ligomis, ypač laidumo sutrikimais.</w:t>
      </w:r>
    </w:p>
    <w:p w:rsidR="005B79C4" w:rsidRPr="009659B2" w:rsidRDefault="005B79C4" w:rsidP="005B79C4">
      <w:pPr>
        <w:tabs>
          <w:tab w:val="clear" w:pos="567"/>
          <w:tab w:val="left" w:pos="1785"/>
        </w:tabs>
        <w:spacing w:line="240" w:lineRule="auto"/>
        <w:rPr>
          <w:szCs w:val="22"/>
          <w:lang w:val="lt-LT"/>
        </w:rPr>
      </w:pPr>
      <w:r w:rsidRPr="009659B2">
        <w:rPr>
          <w:szCs w:val="22"/>
          <w:lang w:val="lt-LT"/>
        </w:rPr>
        <w:t>Vartokite atsargiai, jei jūsų inkstų funkcija sutrikusi.</w:t>
      </w:r>
    </w:p>
    <w:p w:rsidR="005B79C4" w:rsidRPr="009659B2" w:rsidRDefault="005B79C4" w:rsidP="005B79C4">
      <w:pPr>
        <w:tabs>
          <w:tab w:val="clear" w:pos="567"/>
        </w:tabs>
        <w:spacing w:line="240" w:lineRule="auto"/>
        <w:rPr>
          <w:szCs w:val="22"/>
          <w:lang w:val="lt-LT"/>
        </w:rPr>
      </w:pPr>
      <w:r w:rsidRPr="009659B2">
        <w:rPr>
          <w:szCs w:val="22"/>
          <w:lang w:val="lt-LT"/>
        </w:rPr>
        <w:t xml:space="preserve">Atsargiai vartokite, jei sergate ar sirgote pepsine opa. </w:t>
      </w:r>
    </w:p>
    <w:p w:rsidR="005B79C4" w:rsidRPr="009659B2" w:rsidRDefault="005B79C4" w:rsidP="005B79C4">
      <w:pPr>
        <w:tabs>
          <w:tab w:val="clear" w:pos="567"/>
        </w:tabs>
        <w:spacing w:line="240" w:lineRule="auto"/>
        <w:rPr>
          <w:szCs w:val="22"/>
          <w:lang w:val="lt-LT"/>
        </w:rPr>
      </w:pPr>
      <w:r w:rsidRPr="009659B2">
        <w:rPr>
          <w:szCs w:val="22"/>
          <w:lang w:val="lt-LT"/>
        </w:rPr>
        <w:t>Dėl kalio kiekio kraujyje padidėjimo pavojaus atsargiai vartoti pacientams, kuriems pasireiškė audinių ląstelių didelės destrukcijos epizodai (pvz., esant nudegimams, audinių suspaudimo sindromui), esant kraujavimui iš virškinimo trakto, vidurių užkietėjimui.</w:t>
      </w: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Kiti vaistai ir Kalinor</w:t>
      </w:r>
    </w:p>
    <w:p w:rsidR="005B79C4" w:rsidRPr="009659B2" w:rsidRDefault="005B79C4" w:rsidP="005B79C4">
      <w:pPr>
        <w:spacing w:line="240" w:lineRule="auto"/>
        <w:rPr>
          <w:noProof/>
          <w:szCs w:val="22"/>
          <w:lang w:val="lt-LT"/>
        </w:rPr>
      </w:pPr>
      <w:r w:rsidRPr="009659B2">
        <w:rPr>
          <w:noProof/>
          <w:szCs w:val="22"/>
          <w:lang w:val="lt-LT"/>
        </w:rPr>
        <w:t>Jeigu vartojate arba neseniai vartojote kitų vaistų, įskaitant įsigytus be recepto, arba dėl to nesate tikri, apie tai pasakykite gydytojui arba vaistininkui.</w:t>
      </w:r>
    </w:p>
    <w:p w:rsidR="005B79C4" w:rsidRPr="009659B2" w:rsidRDefault="005B79C4" w:rsidP="005B79C4">
      <w:pPr>
        <w:spacing w:line="240" w:lineRule="auto"/>
        <w:rPr>
          <w:noProof/>
          <w:szCs w:val="22"/>
          <w:lang w:val="lt-LT"/>
        </w:rPr>
      </w:pPr>
    </w:p>
    <w:p w:rsidR="005B79C4" w:rsidRPr="009659B2" w:rsidRDefault="005B79C4" w:rsidP="005B79C4">
      <w:pPr>
        <w:widowControl w:val="0"/>
        <w:tabs>
          <w:tab w:val="left" w:pos="2410"/>
          <w:tab w:val="left" w:pos="3544"/>
          <w:tab w:val="left" w:pos="6946"/>
          <w:tab w:val="left" w:pos="7088"/>
        </w:tabs>
        <w:autoSpaceDE w:val="0"/>
        <w:autoSpaceDN w:val="0"/>
        <w:adjustRightInd w:val="0"/>
        <w:spacing w:line="240" w:lineRule="auto"/>
        <w:rPr>
          <w:szCs w:val="22"/>
          <w:lang w:val="lt-LT"/>
        </w:rPr>
      </w:pPr>
      <w:r w:rsidRPr="009659B2">
        <w:rPr>
          <w:szCs w:val="22"/>
          <w:lang w:val="lt-LT"/>
        </w:rPr>
        <w:t xml:space="preserve">Kokie kiti vaistai turi įtakos Kalinor veikimui ir kurių kitų vaistų veikimui turi įtakos Kalinor? </w:t>
      </w:r>
    </w:p>
    <w:p w:rsidR="005B79C4" w:rsidRPr="009659B2" w:rsidRDefault="005B79C4" w:rsidP="005B79C4">
      <w:pPr>
        <w:widowControl w:val="0"/>
        <w:tabs>
          <w:tab w:val="left" w:pos="2410"/>
          <w:tab w:val="left" w:pos="3544"/>
          <w:tab w:val="left" w:pos="6946"/>
          <w:tab w:val="left" w:pos="7088"/>
        </w:tabs>
        <w:autoSpaceDE w:val="0"/>
        <w:autoSpaceDN w:val="0"/>
        <w:adjustRightInd w:val="0"/>
        <w:spacing w:line="240" w:lineRule="auto"/>
        <w:rPr>
          <w:szCs w:val="22"/>
          <w:lang w:val="lt-LT"/>
        </w:rPr>
      </w:pPr>
      <w:r w:rsidRPr="009659B2">
        <w:rPr>
          <w:szCs w:val="22"/>
          <w:lang w:val="lt-LT"/>
        </w:rPr>
        <w:t>Padidėjus kalio kiekiui kraujyje, silpnėja širdį veikiančių glikozidų veikimas, tuo tarpu sumažėjus kalio kiekiui (esant negydomai kalio stokai) stiprėja širdies ritmą trikdantis (vadinamasis aritmogeninis) širdį veikiančių glikozidų poveikis. Kalio išskyrimą pro inkstus slopina antinksčių žievės hormonų veikimą stabdančios medžiagos (</w:t>
      </w:r>
      <w:r w:rsidRPr="009659B2">
        <w:rPr>
          <w:iCs/>
          <w:szCs w:val="22"/>
          <w:lang w:val="lt-LT"/>
        </w:rPr>
        <w:t>aldosterono antagonistai</w:t>
      </w:r>
      <w:r w:rsidRPr="009659B2">
        <w:rPr>
          <w:szCs w:val="22"/>
          <w:lang w:val="lt-LT"/>
        </w:rPr>
        <w:t>), kalį organizme sulaikantys, šlapimą varantys vaistai (</w:t>
      </w:r>
      <w:r w:rsidRPr="009659B2">
        <w:rPr>
          <w:i/>
          <w:iCs/>
          <w:szCs w:val="22"/>
          <w:lang w:val="lt-LT"/>
        </w:rPr>
        <w:t>diuretikai</w:t>
      </w:r>
      <w:r w:rsidRPr="009659B2">
        <w:rPr>
          <w:szCs w:val="22"/>
          <w:lang w:val="lt-LT"/>
        </w:rPr>
        <w:t xml:space="preserve">), kai kurie kraujospūdį mažinantys vaistai (pvz., </w:t>
      </w:r>
      <w:r w:rsidRPr="009659B2">
        <w:rPr>
          <w:iCs/>
          <w:szCs w:val="22"/>
          <w:lang w:val="lt-LT"/>
        </w:rPr>
        <w:t xml:space="preserve">AKF inhibitoriai, </w:t>
      </w:r>
      <w:r w:rsidRPr="009659B2">
        <w:rPr>
          <w:szCs w:val="22"/>
          <w:lang w:val="lt-LT"/>
        </w:rPr>
        <w:t>angiotenzino II receptorių antagonistai, beta</w:t>
      </w:r>
      <w:r w:rsidRPr="009659B2">
        <w:rPr>
          <w:szCs w:val="22"/>
          <w:lang w:val="lt-LT"/>
        </w:rPr>
        <w:noBreakHyphen/>
        <w:t>adrenoreceptorių blokatoriai) bei tam tikri skausmą malšinantys ir reumatinėms ligoms gydyti vartojami vaistai (</w:t>
      </w:r>
      <w:r w:rsidRPr="009659B2">
        <w:rPr>
          <w:iCs/>
          <w:szCs w:val="22"/>
          <w:lang w:val="lt-LT"/>
        </w:rPr>
        <w:t>nesteroidiniai vaistai nuo uždegimo ir periferinio veikimo analgetikai</w:t>
      </w:r>
      <w:r w:rsidRPr="009659B2">
        <w:rPr>
          <w:szCs w:val="22"/>
          <w:lang w:val="lt-LT"/>
        </w:rPr>
        <w:t>), vaistai, moduliuojantys Jūsų imuninę sistemą (takrolimuzas, ciklosporinas).</w:t>
      </w:r>
    </w:p>
    <w:p w:rsidR="005B79C4" w:rsidRPr="009659B2" w:rsidRDefault="005B79C4" w:rsidP="005B79C4">
      <w:pPr>
        <w:widowControl w:val="0"/>
        <w:tabs>
          <w:tab w:val="left" w:pos="2410"/>
          <w:tab w:val="left" w:pos="3544"/>
          <w:tab w:val="left" w:pos="6946"/>
          <w:tab w:val="left" w:pos="7088"/>
        </w:tabs>
        <w:autoSpaceDE w:val="0"/>
        <w:autoSpaceDN w:val="0"/>
        <w:adjustRightInd w:val="0"/>
        <w:spacing w:line="240" w:lineRule="auto"/>
        <w:rPr>
          <w:szCs w:val="22"/>
          <w:lang w:val="lt-LT"/>
        </w:rPr>
      </w:pPr>
      <w:r w:rsidRPr="009659B2">
        <w:rPr>
          <w:szCs w:val="22"/>
          <w:lang w:val="lt-LT"/>
        </w:rPr>
        <w:t xml:space="preserve">Nepamirškite, kad šie duomenys galioja ir tuomet, kai šių vaistų dabar nevartojate, bet jų neseniai vartojote. </w:t>
      </w:r>
    </w:p>
    <w:p w:rsidR="005B79C4" w:rsidRPr="009659B2" w:rsidRDefault="005B79C4" w:rsidP="005B79C4">
      <w:pPr>
        <w:tabs>
          <w:tab w:val="clear" w:pos="567"/>
          <w:tab w:val="left" w:pos="1785"/>
        </w:tabs>
        <w:spacing w:line="240" w:lineRule="auto"/>
        <w:rPr>
          <w:szCs w:val="22"/>
          <w:lang w:val="lt-LT"/>
        </w:rPr>
      </w:pPr>
      <w:r w:rsidRPr="009659B2">
        <w:rPr>
          <w:szCs w:val="22"/>
          <w:lang w:val="lt-LT"/>
        </w:rPr>
        <w:t>Atsargiai vartokite kartu su anticholinerginiais vaistais, nes gali sulėtėti virškinimo trakto motorika.</w:t>
      </w: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Kalinor vartojimas su maistu, gėrimais ir alkoholiu</w:t>
      </w:r>
    </w:p>
    <w:p w:rsidR="005B79C4" w:rsidRPr="009659B2" w:rsidRDefault="005B79C4" w:rsidP="005B79C4">
      <w:pPr>
        <w:numPr>
          <w:ilvl w:val="12"/>
          <w:numId w:val="0"/>
        </w:numPr>
        <w:tabs>
          <w:tab w:val="clear" w:pos="567"/>
          <w:tab w:val="left" w:pos="1290"/>
        </w:tabs>
        <w:spacing w:line="240" w:lineRule="auto"/>
        <w:ind w:right="-2"/>
        <w:rPr>
          <w:noProof/>
          <w:szCs w:val="22"/>
          <w:lang w:val="lt-LT"/>
        </w:rPr>
      </w:pPr>
    </w:p>
    <w:p w:rsidR="005B79C4" w:rsidRPr="009659B2" w:rsidRDefault="005B79C4" w:rsidP="005B79C4">
      <w:pPr>
        <w:numPr>
          <w:ilvl w:val="12"/>
          <w:numId w:val="0"/>
        </w:numPr>
        <w:tabs>
          <w:tab w:val="clear" w:pos="567"/>
          <w:tab w:val="left" w:pos="1290"/>
        </w:tabs>
        <w:spacing w:line="240" w:lineRule="auto"/>
        <w:ind w:right="-2"/>
        <w:rPr>
          <w:noProof/>
          <w:szCs w:val="22"/>
          <w:lang w:val="lt-LT"/>
        </w:rPr>
      </w:pPr>
      <w:r w:rsidRPr="009659B2">
        <w:rPr>
          <w:noProof/>
          <w:szCs w:val="22"/>
          <w:lang w:val="lt-LT"/>
        </w:rPr>
        <w:t>Nėra tikimybės, kad Kalinor kaip nors sąveikautų su alkoholiu, tabaku, valgiuose ar gėrimuose esančiomis medžiagomis.</w:t>
      </w:r>
    </w:p>
    <w:p w:rsidR="005B79C4" w:rsidRPr="009659B2" w:rsidRDefault="005B79C4" w:rsidP="005B79C4">
      <w:pPr>
        <w:numPr>
          <w:ilvl w:val="12"/>
          <w:numId w:val="0"/>
        </w:numPr>
        <w:tabs>
          <w:tab w:val="clear" w:pos="567"/>
          <w:tab w:val="left" w:pos="1290"/>
        </w:tabs>
        <w:spacing w:line="240" w:lineRule="auto"/>
        <w:ind w:right="-2"/>
        <w:rPr>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Nėštumas ir žindymo laikotarpis</w:t>
      </w:r>
    </w:p>
    <w:p w:rsidR="005B79C4" w:rsidRPr="009659B2" w:rsidRDefault="005B79C4" w:rsidP="005B79C4">
      <w:pPr>
        <w:tabs>
          <w:tab w:val="clear" w:pos="567"/>
          <w:tab w:val="left" w:pos="0"/>
        </w:tabs>
        <w:spacing w:line="240" w:lineRule="auto"/>
        <w:rPr>
          <w:noProof/>
          <w:szCs w:val="22"/>
          <w:lang w:val="lt-LT"/>
        </w:rPr>
      </w:pPr>
      <w:r w:rsidRPr="009659B2">
        <w:rPr>
          <w:noProof/>
          <w:szCs w:val="22"/>
          <w:lang w:val="lt-LT"/>
        </w:rPr>
        <w:t>Jeigu esate nėščia, žindote kūdikį, manote, kad galbūt esate nėščia, arba planuojate pastoti, tai prieš vartodama šį vaistą, pasitarkite su gydytoju arba vaistininku.</w:t>
      </w:r>
    </w:p>
    <w:p w:rsidR="005B79C4" w:rsidRPr="009659B2" w:rsidRDefault="005B79C4" w:rsidP="005B79C4">
      <w:pPr>
        <w:spacing w:line="240" w:lineRule="auto"/>
        <w:ind w:left="567" w:hanging="567"/>
        <w:rPr>
          <w:noProof/>
          <w:szCs w:val="22"/>
          <w:lang w:val="lt-LT"/>
        </w:rPr>
      </w:pPr>
      <w:r w:rsidRPr="009659B2">
        <w:rPr>
          <w:szCs w:val="22"/>
          <w:lang w:val="lt-LT"/>
        </w:rPr>
        <w:t>Apie neigiamą vaisto poveikį nėštumo ir žindymo laikotarpiu duomenų nėra.</w:t>
      </w:r>
    </w:p>
    <w:p w:rsidR="005B79C4" w:rsidRPr="009659B2" w:rsidRDefault="005B79C4" w:rsidP="005B79C4">
      <w:pPr>
        <w:spacing w:line="240" w:lineRule="auto"/>
        <w:ind w:left="567" w:hanging="567"/>
        <w:rPr>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Vairavimas ir mechanizmų valdymas</w:t>
      </w:r>
    </w:p>
    <w:p w:rsidR="005B79C4" w:rsidRPr="009659B2" w:rsidRDefault="005B79C4" w:rsidP="005B79C4">
      <w:pPr>
        <w:spacing w:line="240" w:lineRule="auto"/>
        <w:rPr>
          <w:noProof/>
          <w:szCs w:val="22"/>
          <w:lang w:val="lt-LT"/>
        </w:rPr>
      </w:pPr>
      <w:r w:rsidRPr="009659B2">
        <w:rPr>
          <w:szCs w:val="22"/>
          <w:lang w:val="lt-LT"/>
        </w:rPr>
        <w:t>Vartojamas Kalinor netrikdo Jūsų gebėjimo vairuoti transporto priemonę, Jūsų reakcijos ar bendro gebėjimo dirbti, aptarnaujant mechanizmus.</w:t>
      </w:r>
    </w:p>
    <w:p w:rsidR="005B79C4" w:rsidRPr="009659B2" w:rsidRDefault="005B79C4" w:rsidP="005B79C4">
      <w:pPr>
        <w:spacing w:line="240" w:lineRule="auto"/>
        <w:ind w:left="567" w:hanging="567"/>
        <w:rPr>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Kalinor sudėtyje yra gliukozės ir sacharozės</w:t>
      </w:r>
    </w:p>
    <w:p w:rsidR="005B79C4" w:rsidRPr="009659B2" w:rsidRDefault="005B79C4" w:rsidP="005B79C4">
      <w:pPr>
        <w:numPr>
          <w:ilvl w:val="12"/>
          <w:numId w:val="0"/>
        </w:numPr>
        <w:tabs>
          <w:tab w:val="clear" w:pos="567"/>
        </w:tabs>
        <w:spacing w:line="240" w:lineRule="auto"/>
        <w:rPr>
          <w:noProof/>
          <w:szCs w:val="22"/>
          <w:lang w:val="lt-LT"/>
        </w:rPr>
      </w:pPr>
    </w:p>
    <w:p w:rsidR="005B79C4" w:rsidRPr="009659B2" w:rsidRDefault="005B79C4" w:rsidP="005B79C4">
      <w:pPr>
        <w:numPr>
          <w:ilvl w:val="12"/>
          <w:numId w:val="0"/>
        </w:numPr>
        <w:tabs>
          <w:tab w:val="clear" w:pos="567"/>
        </w:tabs>
        <w:spacing w:line="240" w:lineRule="auto"/>
        <w:rPr>
          <w:noProof/>
          <w:szCs w:val="22"/>
          <w:lang w:val="lt-LT"/>
        </w:rPr>
      </w:pPr>
      <w:r w:rsidRPr="009659B2">
        <w:rPr>
          <w:noProof/>
          <w:szCs w:val="22"/>
          <w:lang w:val="lt-LT"/>
        </w:rPr>
        <w:t>Jei gydytojas Jums yra sakęs, kad netoleruojate kokių nors angliavandenių, kreipkitės į jį prieš pradėdami vartoti šį vaistą.</w:t>
      </w:r>
    </w:p>
    <w:p w:rsidR="005B79C4" w:rsidRPr="009659B2" w:rsidRDefault="005B79C4" w:rsidP="005B79C4">
      <w:pPr>
        <w:numPr>
          <w:ilvl w:val="12"/>
          <w:numId w:val="0"/>
        </w:numPr>
        <w:tabs>
          <w:tab w:val="clear" w:pos="567"/>
        </w:tabs>
        <w:spacing w:line="240" w:lineRule="auto"/>
        <w:ind w:right="-2"/>
        <w:rPr>
          <w:szCs w:val="22"/>
          <w:lang w:val="lt-LT"/>
        </w:rPr>
      </w:pPr>
      <w:r w:rsidRPr="009659B2">
        <w:rPr>
          <w:szCs w:val="22"/>
          <w:lang w:val="lt-LT"/>
        </w:rPr>
        <w:t>Gali kenkti dantims.</w:t>
      </w:r>
    </w:p>
    <w:p w:rsidR="005B79C4" w:rsidRPr="009659B2" w:rsidRDefault="005B79C4" w:rsidP="005B79C4">
      <w:pPr>
        <w:numPr>
          <w:ilvl w:val="12"/>
          <w:numId w:val="0"/>
        </w:numPr>
        <w:tabs>
          <w:tab w:val="clear" w:pos="567"/>
        </w:tabs>
        <w:spacing w:line="240" w:lineRule="auto"/>
        <w:ind w:right="-2"/>
        <w:rPr>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spacing w:line="240" w:lineRule="auto"/>
        <w:ind w:left="567" w:hanging="567"/>
        <w:outlineLvl w:val="0"/>
        <w:rPr>
          <w:b/>
          <w:caps/>
          <w:noProof/>
          <w:szCs w:val="22"/>
          <w:lang w:val="lt-LT"/>
        </w:rPr>
      </w:pPr>
      <w:r w:rsidRPr="009659B2">
        <w:rPr>
          <w:b/>
          <w:noProof/>
          <w:szCs w:val="22"/>
          <w:lang w:val="lt-LT"/>
        </w:rPr>
        <w:t>3.</w:t>
      </w:r>
      <w:r w:rsidRPr="009659B2">
        <w:rPr>
          <w:b/>
          <w:noProof/>
          <w:szCs w:val="22"/>
          <w:lang w:val="lt-LT"/>
        </w:rPr>
        <w:tab/>
        <w:t>Kaip vartoti Kalinor</w:t>
      </w:r>
    </w:p>
    <w:p w:rsidR="005B79C4" w:rsidRPr="009659B2" w:rsidRDefault="005B79C4" w:rsidP="005B79C4">
      <w:pPr>
        <w:spacing w:line="240" w:lineRule="auto"/>
        <w:ind w:left="567" w:hanging="567"/>
        <w:rPr>
          <w:noProof/>
          <w:szCs w:val="22"/>
          <w:lang w:val="lt-LT"/>
        </w:rPr>
      </w:pPr>
    </w:p>
    <w:p w:rsidR="005B79C4" w:rsidRPr="009659B2" w:rsidRDefault="005B79C4" w:rsidP="005B79C4">
      <w:pPr>
        <w:widowControl w:val="0"/>
        <w:tabs>
          <w:tab w:val="left" w:pos="710"/>
          <w:tab w:val="left" w:pos="852"/>
        </w:tabs>
        <w:autoSpaceDE w:val="0"/>
        <w:autoSpaceDN w:val="0"/>
        <w:adjustRightInd w:val="0"/>
        <w:spacing w:line="240" w:lineRule="auto"/>
        <w:rPr>
          <w:szCs w:val="22"/>
          <w:lang w:val="lt-LT"/>
        </w:rPr>
      </w:pPr>
      <w:r w:rsidRPr="009659B2">
        <w:rPr>
          <w:szCs w:val="22"/>
          <w:lang w:val="lt-LT"/>
        </w:rPr>
        <w:t>Dozavimas priklauso nuo kalio stokos, kurią reikia koreguoti, laipsnio. Todėl reikiamą vaisto dozę paskirs gydytojas.</w:t>
      </w: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 xml:space="preserve">Vienkartinė dozė turėtų būti ne didesnė kaip 1 šnypščioji tabletė. </w:t>
      </w: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1 šnypščiąją tabletę ištirpinkite stiklinėje vandens (100-200 ml). Paruoštas geriamasis tirpalas turi būti skaidrus (gali būti su nuosėdomis). Išgerkite mažais gurkšneliais per 10-15 minučių. Vartojant valgio metu, vaistas geriau toleruojamas virškinimo trakte.</w:t>
      </w: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2 šnypščiųjų tablečių paros dozė turi būti suvartota per parą, paskirstant ją dalimis. Kalio papildymą reikia tęsti tol, kol bus pašalinta kalio koncentracijos sumažėjimo priežastis. Dažniausiai kalio kiekio sumažėjimo atvejais trūkumas kompensuojamas per laikotarpį nuo keleto dienų iki savaičių. Vaisto vartojimo trukmę nustatys gydytojas.</w:t>
      </w: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Kadangi duomenų dėl vaisto vartojimo vaikams pakankamai nėra, vaikams ir paaugliams Kalinor vartoti nerekomenduojama.</w:t>
      </w:r>
    </w:p>
    <w:p w:rsidR="005B79C4" w:rsidRPr="009659B2" w:rsidRDefault="005B79C4" w:rsidP="005B79C4">
      <w:pPr>
        <w:widowControl w:val="0"/>
        <w:tabs>
          <w:tab w:val="left" w:pos="1843"/>
          <w:tab w:val="left" w:pos="2977"/>
          <w:tab w:val="left" w:pos="6379"/>
          <w:tab w:val="left" w:pos="6521"/>
        </w:tabs>
        <w:autoSpaceDE w:val="0"/>
        <w:autoSpaceDN w:val="0"/>
        <w:adjustRightInd w:val="0"/>
        <w:spacing w:line="240" w:lineRule="auto"/>
        <w:rPr>
          <w:szCs w:val="22"/>
          <w:lang w:val="lt-LT"/>
        </w:rPr>
      </w:pPr>
    </w:p>
    <w:p w:rsidR="005B79C4" w:rsidRPr="009659B2" w:rsidRDefault="005B79C4" w:rsidP="005B79C4">
      <w:pPr>
        <w:tabs>
          <w:tab w:val="clear" w:pos="567"/>
          <w:tab w:val="left" w:pos="1785"/>
        </w:tabs>
        <w:spacing w:line="240" w:lineRule="auto"/>
        <w:rPr>
          <w:szCs w:val="22"/>
          <w:lang w:val="lt-LT"/>
        </w:rPr>
      </w:pPr>
      <w:r w:rsidRPr="009659B2">
        <w:rPr>
          <w:szCs w:val="22"/>
          <w:lang w:val="lt-LT"/>
        </w:rPr>
        <w:t>Atsargiai vartoti pacientams, kurių inkstų funkcija sutrikusi.</w:t>
      </w:r>
    </w:p>
    <w:p w:rsidR="005B79C4" w:rsidRPr="009659B2" w:rsidRDefault="005B79C4" w:rsidP="005B79C4">
      <w:pPr>
        <w:spacing w:line="240" w:lineRule="auto"/>
        <w:ind w:left="567" w:hanging="567"/>
        <w:rPr>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Ką daryti pavartojus per didelę Kalinor dozę?</w:t>
      </w:r>
    </w:p>
    <w:p w:rsidR="005B79C4" w:rsidRPr="009659B2" w:rsidRDefault="005B79C4" w:rsidP="005B79C4">
      <w:pPr>
        <w:spacing w:line="240" w:lineRule="auto"/>
        <w:rPr>
          <w:szCs w:val="22"/>
          <w:u w:val="single"/>
          <w:lang w:val="lt-LT"/>
        </w:rPr>
      </w:pPr>
    </w:p>
    <w:p w:rsidR="005B79C4" w:rsidRPr="009659B2" w:rsidRDefault="005B79C4" w:rsidP="005B79C4">
      <w:pPr>
        <w:spacing w:line="240" w:lineRule="auto"/>
        <w:rPr>
          <w:szCs w:val="22"/>
          <w:lang w:val="lt-LT"/>
        </w:rPr>
      </w:pPr>
      <w:r w:rsidRPr="009659B2">
        <w:rPr>
          <w:szCs w:val="22"/>
          <w:u w:val="single"/>
          <w:lang w:val="lt-LT"/>
        </w:rPr>
        <w:t xml:space="preserve">Išgėrus per daug Kalinor, reikia nedelsiant kreiptis į gydytoją. </w:t>
      </w:r>
    </w:p>
    <w:p w:rsidR="005B79C4" w:rsidRPr="009659B2" w:rsidRDefault="005B79C4" w:rsidP="005B79C4">
      <w:pPr>
        <w:spacing w:line="240" w:lineRule="auto"/>
        <w:rPr>
          <w:b/>
          <w:noProof/>
          <w:szCs w:val="22"/>
          <w:lang w:val="lt-LT"/>
        </w:rPr>
      </w:pPr>
    </w:p>
    <w:p w:rsidR="005B79C4" w:rsidRPr="009659B2" w:rsidRDefault="005B79C4" w:rsidP="005B79C4">
      <w:pPr>
        <w:spacing w:line="240" w:lineRule="auto"/>
        <w:ind w:left="567" w:hanging="567"/>
        <w:rPr>
          <w:b/>
          <w:noProof/>
          <w:szCs w:val="22"/>
          <w:lang w:val="lt-LT"/>
        </w:rPr>
      </w:pPr>
      <w:r w:rsidRPr="009659B2">
        <w:rPr>
          <w:b/>
          <w:noProof/>
          <w:szCs w:val="22"/>
          <w:lang w:val="lt-LT"/>
        </w:rPr>
        <w:t>Pamiršus pavartoti Kalinor</w:t>
      </w:r>
    </w:p>
    <w:p w:rsidR="005B79C4" w:rsidRPr="009659B2" w:rsidRDefault="005B79C4" w:rsidP="005B79C4">
      <w:pPr>
        <w:spacing w:line="240" w:lineRule="auto"/>
        <w:rPr>
          <w:noProof/>
          <w:szCs w:val="22"/>
          <w:lang w:val="lt-LT"/>
        </w:rPr>
      </w:pPr>
      <w:r w:rsidRPr="009659B2">
        <w:rPr>
          <w:szCs w:val="22"/>
          <w:lang w:val="lt-LT"/>
        </w:rPr>
        <w:t>Jeigu vieną kartą pamiršote išgerti Kalinor , tai galite padaryti vėliau. Tačiau vienu kartu niekuomet nevartokite daugiau kaip po vieną šnypščiąją tabletę.</w:t>
      </w:r>
    </w:p>
    <w:p w:rsidR="005B79C4" w:rsidRPr="009659B2" w:rsidRDefault="005B79C4" w:rsidP="005B79C4">
      <w:pPr>
        <w:spacing w:line="240" w:lineRule="auto"/>
        <w:ind w:left="567" w:hanging="567"/>
        <w:rPr>
          <w:noProof/>
          <w:szCs w:val="22"/>
          <w:lang w:val="lt-LT"/>
        </w:rPr>
      </w:pPr>
    </w:p>
    <w:p w:rsidR="005B79C4" w:rsidRPr="009659B2" w:rsidRDefault="005B79C4" w:rsidP="005B79C4">
      <w:pPr>
        <w:spacing w:line="240" w:lineRule="auto"/>
        <w:ind w:left="567" w:hanging="567"/>
        <w:rPr>
          <w:noProof/>
          <w:szCs w:val="22"/>
          <w:lang w:val="lt-LT"/>
        </w:rPr>
      </w:pPr>
      <w:r w:rsidRPr="009659B2">
        <w:rPr>
          <w:b/>
          <w:noProof/>
          <w:szCs w:val="22"/>
          <w:lang w:val="lt-LT"/>
        </w:rPr>
        <w:t xml:space="preserve">Nustojus vartoti Kalinor </w:t>
      </w: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Gydytojas nurodys kiek laiko reikia vartoti Kalinor. Paprastai, sunormalėjus kalio koncentracijai kraujyje, vaisto vartoti nebereikia.</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spacing w:line="240" w:lineRule="auto"/>
        <w:ind w:left="567" w:hanging="567"/>
        <w:outlineLvl w:val="0"/>
        <w:rPr>
          <w:b/>
          <w:caps/>
          <w:noProof/>
          <w:szCs w:val="22"/>
          <w:lang w:val="lt-LT"/>
        </w:rPr>
      </w:pPr>
      <w:r w:rsidRPr="009659B2">
        <w:rPr>
          <w:b/>
          <w:caps/>
          <w:noProof/>
          <w:szCs w:val="22"/>
          <w:lang w:val="lt-LT"/>
        </w:rPr>
        <w:t>4.</w:t>
      </w:r>
      <w:r w:rsidRPr="009659B2">
        <w:rPr>
          <w:b/>
          <w:caps/>
          <w:noProof/>
          <w:szCs w:val="22"/>
          <w:lang w:val="lt-LT"/>
        </w:rPr>
        <w:tab/>
      </w:r>
      <w:r w:rsidRPr="00A55E27">
        <w:rPr>
          <w:b/>
          <w:noProof/>
          <w:szCs w:val="22"/>
          <w:lang w:val="lt-LT"/>
        </w:rPr>
        <w:t>Galimas šalutinis poveikis</w:t>
      </w:r>
    </w:p>
    <w:p w:rsidR="005B79C4" w:rsidRPr="009659B2" w:rsidRDefault="005B79C4" w:rsidP="005B79C4">
      <w:pPr>
        <w:spacing w:line="240" w:lineRule="auto"/>
        <w:ind w:left="567" w:hanging="567"/>
        <w:rPr>
          <w:noProof/>
          <w:szCs w:val="22"/>
          <w:lang w:val="lt-LT"/>
        </w:rPr>
      </w:pPr>
    </w:p>
    <w:p w:rsidR="005B79C4" w:rsidRPr="009659B2" w:rsidRDefault="005B79C4" w:rsidP="005B79C4">
      <w:pPr>
        <w:spacing w:line="240" w:lineRule="auto"/>
        <w:ind w:left="567" w:hanging="567"/>
        <w:rPr>
          <w:noProof/>
          <w:szCs w:val="22"/>
          <w:lang w:val="lt-LT"/>
        </w:rPr>
      </w:pPr>
      <w:r w:rsidRPr="009659B2">
        <w:rPr>
          <w:noProof/>
          <w:szCs w:val="22"/>
          <w:lang w:val="lt-LT"/>
        </w:rPr>
        <w:t xml:space="preserve">Šis vaistas, kaip ir visi kiti, gali sukelti šalutinį poveikį, nors jis pasireiškia ne visiems </w:t>
      </w:r>
      <w:r w:rsidRPr="009659B2">
        <w:rPr>
          <w:szCs w:val="22"/>
          <w:lang w:val="lt-LT"/>
        </w:rPr>
        <w:t>žmonėms</w:t>
      </w:r>
      <w:r w:rsidRPr="009659B2">
        <w:rPr>
          <w:noProof/>
          <w:szCs w:val="22"/>
          <w:lang w:val="lt-LT"/>
        </w:rPr>
        <w:t>.</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Dažnai (dažniau nei 1 pacientui iš 100, bet rečiau nei 1 iš 10) pasireiškiantis šalutinis poveikis: vėmimas, pykinimas (jeigu Jūs esate linkęs į tai), viduriavimas, raugulys.</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 xml:space="preserve">Nedažnai (dažniau nei 1 pacientui iš 1 000) pasireiškiantis šalutinis poveikis: egzema, niežulys, išbėrimas, </w:t>
      </w:r>
      <w:r w:rsidRPr="009659B2">
        <w:rPr>
          <w:i/>
          <w:noProof/>
          <w:szCs w:val="22"/>
          <w:lang w:val="lt-LT"/>
        </w:rPr>
        <w:t>Stevens-Johnson</w:t>
      </w:r>
      <w:r w:rsidRPr="009659B2">
        <w:rPr>
          <w:noProof/>
          <w:szCs w:val="22"/>
          <w:lang w:val="lt-LT"/>
        </w:rPr>
        <w:t xml:space="preserve"> sindromas (sunki alerginė reakcija).</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Retai (dažniau nei 1 pacientui iš 10 000) pasireiškiantis šalutinis poveikis: pilvo skausmas, rėmuo, padidėjęs kalio kiekis kraujyje.</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Labai retai (rečiau nei 1 pacientui iš 10 000) pasireiškiantis šalutinis poveikis: vidurių pūtimas, kraujavimas tuštinantis, skysčių praradimas, sumažėjęs kraujo tūris organizme.</w:t>
      </w:r>
    </w:p>
    <w:p w:rsidR="005B79C4" w:rsidRPr="009659B2" w:rsidRDefault="005B79C4" w:rsidP="005B79C4">
      <w:pPr>
        <w:numPr>
          <w:ilvl w:val="12"/>
          <w:numId w:val="0"/>
        </w:numPr>
        <w:tabs>
          <w:tab w:val="clear" w:pos="567"/>
        </w:tabs>
        <w:spacing w:line="240" w:lineRule="auto"/>
        <w:ind w:right="-2"/>
        <w:rPr>
          <w:szCs w:val="22"/>
          <w:lang w:val="lt-LT"/>
        </w:rPr>
      </w:pPr>
    </w:p>
    <w:p w:rsidR="005B79C4" w:rsidRPr="009659B2" w:rsidRDefault="005B79C4" w:rsidP="005B79C4">
      <w:pPr>
        <w:spacing w:line="240" w:lineRule="auto"/>
        <w:rPr>
          <w:b/>
          <w:snapToGrid w:val="0"/>
          <w:szCs w:val="22"/>
          <w:lang w:val="lt-LT"/>
        </w:rPr>
      </w:pPr>
      <w:r w:rsidRPr="009659B2">
        <w:rPr>
          <w:b/>
          <w:noProof/>
          <w:snapToGrid w:val="0"/>
          <w:szCs w:val="22"/>
          <w:lang w:val="lt-LT"/>
        </w:rPr>
        <w:t>Pranešimas apie šalutinį poveikį</w:t>
      </w:r>
    </w:p>
    <w:p w:rsidR="005B79C4" w:rsidRPr="009659B2" w:rsidRDefault="005B79C4" w:rsidP="005B79C4">
      <w:pPr>
        <w:ind w:right="-449"/>
        <w:rPr>
          <w:noProof/>
          <w:snapToGrid w:val="0"/>
          <w:szCs w:val="22"/>
          <w:lang w:val="lt-LT"/>
        </w:rPr>
      </w:pPr>
      <w:r w:rsidRPr="009659B2">
        <w:rPr>
          <w:snapToGrid w:val="0"/>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659B2">
        <w:rPr>
          <w:snapToGrid w:val="0"/>
          <w:szCs w:val="22"/>
          <w:lang w:val="lt-LT" w:eastAsia="zh-CN"/>
        </w:rPr>
        <w:t>elefonu 8 800 73568</w:t>
      </w:r>
      <w:r w:rsidRPr="009659B2">
        <w:rPr>
          <w:snapToGrid w:val="0"/>
          <w:szCs w:val="22"/>
          <w:lang w:val="lt-LT"/>
        </w:rPr>
        <w:t xml:space="preserve"> arba užpildyti interneto svetainėje </w:t>
      </w:r>
      <w:hyperlink r:id="rId5" w:history="1">
        <w:r w:rsidRPr="009659B2">
          <w:rPr>
            <w:rFonts w:eastAsia="SimSun"/>
            <w:snapToGrid w:val="0"/>
            <w:color w:val="0000FF"/>
            <w:szCs w:val="22"/>
            <w:u w:val="single"/>
            <w:lang w:val="lt-LT"/>
          </w:rPr>
          <w:t>www.vvkt.lt</w:t>
        </w:r>
      </w:hyperlink>
      <w:r w:rsidRPr="009659B2">
        <w:rPr>
          <w:snapToGrid w:val="0"/>
          <w:szCs w:val="22"/>
          <w:lang w:val="lt-LT"/>
        </w:rPr>
        <w:t xml:space="preserve"> esančią formą ir pateikti ją Valstybinei vaistų kontrolės tarnybai prie Lietuvos </w:t>
      </w:r>
      <w:r w:rsidRPr="009659B2">
        <w:rPr>
          <w:snapToGrid w:val="0"/>
          <w:szCs w:val="22"/>
          <w:lang w:val="lt-LT"/>
        </w:rPr>
        <w:lastRenderedPageBreak/>
        <w:t xml:space="preserve">Respublikos sveikatos apsaugos ministerijos vienu iš šių būdų: raštu (adresu Žirmūnų g. 139A, LT-09120 Vilnius), </w:t>
      </w:r>
      <w:r w:rsidRPr="009659B2">
        <w:rPr>
          <w:snapToGrid w:val="0"/>
          <w:szCs w:val="22"/>
          <w:lang w:val="lt-LT" w:eastAsia="zh-CN"/>
        </w:rPr>
        <w:t xml:space="preserve">nemokamu </w:t>
      </w:r>
      <w:r w:rsidRPr="009659B2">
        <w:rPr>
          <w:snapToGrid w:val="0"/>
          <w:szCs w:val="22"/>
          <w:lang w:val="lt-LT"/>
        </w:rPr>
        <w:t>fakso numeriu 8 800 20131</w:t>
      </w:r>
      <w:r w:rsidRPr="009659B2">
        <w:rPr>
          <w:snapToGrid w:val="0"/>
          <w:szCs w:val="22"/>
          <w:lang w:val="lt-LT" w:eastAsia="zh-CN"/>
        </w:rPr>
        <w:t xml:space="preserve">, </w:t>
      </w:r>
      <w:r w:rsidRPr="009659B2">
        <w:rPr>
          <w:snapToGrid w:val="0"/>
          <w:szCs w:val="22"/>
          <w:lang w:val="lt-LT"/>
        </w:rPr>
        <w:t xml:space="preserve">el. paštu </w:t>
      </w:r>
      <w:hyperlink r:id="rId6" w:history="1">
        <w:r w:rsidRPr="009659B2">
          <w:rPr>
            <w:rFonts w:eastAsia="SimSun"/>
            <w:snapToGrid w:val="0"/>
            <w:color w:val="0000FF"/>
            <w:szCs w:val="22"/>
            <w:u w:val="single"/>
            <w:lang w:val="lt-LT"/>
          </w:rPr>
          <w:t>NepageidaujamaR@vvkt.lt</w:t>
        </w:r>
      </w:hyperlink>
      <w:r w:rsidRPr="009659B2">
        <w:rPr>
          <w:snapToGrid w:val="0"/>
          <w:szCs w:val="22"/>
          <w:lang w:val="lt-LT"/>
        </w:rPr>
        <w:t xml:space="preserve">, taip pat per Valstybinės vaistų kontrolės tarnybos prie Lietuvos Respublikos sveikatos apsaugos ministerijos interneto svetainę (adresu </w:t>
      </w:r>
      <w:hyperlink r:id="rId7" w:history="1">
        <w:r w:rsidRPr="009659B2">
          <w:rPr>
            <w:rFonts w:eastAsia="SimSun"/>
            <w:snapToGrid w:val="0"/>
            <w:color w:val="0000FF"/>
            <w:szCs w:val="22"/>
            <w:u w:val="single"/>
            <w:lang w:val="lt-LT"/>
          </w:rPr>
          <w:t>http://www.vvkt.lt</w:t>
        </w:r>
      </w:hyperlink>
      <w:r w:rsidRPr="009659B2">
        <w:rPr>
          <w:snapToGrid w:val="0"/>
          <w:szCs w:val="22"/>
          <w:lang w:val="lt-LT"/>
        </w:rPr>
        <w:t>). Pranešdami apie šalutinį poveikį galite mums padėti gauti daugiau informacijos apie šio vaisto saugumą.</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left="567" w:right="-2" w:hanging="567"/>
        <w:rPr>
          <w:noProof/>
          <w:szCs w:val="22"/>
          <w:lang w:val="lt-LT"/>
        </w:rPr>
      </w:pPr>
      <w:r w:rsidRPr="009659B2">
        <w:rPr>
          <w:b/>
          <w:noProof/>
          <w:szCs w:val="22"/>
          <w:lang w:val="lt-LT"/>
        </w:rPr>
        <w:t>5.</w:t>
      </w:r>
      <w:r w:rsidRPr="009659B2">
        <w:rPr>
          <w:b/>
          <w:noProof/>
          <w:szCs w:val="22"/>
          <w:lang w:val="lt-LT"/>
        </w:rPr>
        <w:tab/>
        <w:t>Kaip laikyti Kalinor</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Šį vaistą laikykite vaikams nepastebimoje ir nepasiekiamoje vietoje.</w:t>
      </w: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 xml:space="preserve">Laikyti ne aukštesnėje kaip 25 </w:t>
      </w:r>
      <w:r w:rsidRPr="009659B2">
        <w:rPr>
          <w:noProof/>
          <w:szCs w:val="22"/>
          <w:lang w:val="lt-LT"/>
        </w:rPr>
        <w:sym w:font="Symbol" w:char="F0B0"/>
      </w:r>
      <w:r w:rsidRPr="009659B2">
        <w:rPr>
          <w:noProof/>
          <w:szCs w:val="22"/>
          <w:lang w:val="lt-LT"/>
        </w:rPr>
        <w:t>C temperatūroje. Laikyti gamintojo pakuotėje, kad vaistas būtų apsaugotas nuo drėgmės.</w:t>
      </w: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Tūbelę laikyti sandarią.</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pStyle w:val="Pagrindinistekstas"/>
        <w:rPr>
          <w:i w:val="0"/>
          <w:iCs/>
          <w:noProof/>
          <w:color w:val="auto"/>
          <w:szCs w:val="22"/>
          <w:lang w:val="lt-LT"/>
        </w:rPr>
      </w:pPr>
      <w:r w:rsidRPr="009659B2">
        <w:rPr>
          <w:i w:val="0"/>
          <w:iCs/>
          <w:noProof/>
          <w:color w:val="auto"/>
          <w:szCs w:val="22"/>
          <w:lang w:val="lt-LT"/>
        </w:rPr>
        <w:t>Ant dėžutės ir tūbelės po „Tinka iki/EXP“ nurodytam tinkamumo laikui pasibaigus, šio vaisto vartoti negalima. Vaistas tinkamas vartoti iki paskutinės nurodyto mėnesio dienos.</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r w:rsidRPr="009659B2">
        <w:rPr>
          <w:noProof/>
          <w:szCs w:val="22"/>
          <w:lang w:val="lt-LT"/>
        </w:rPr>
        <w:t>Vaistų negalima išpilti į kanalizaciją arba su buitinėmis</w:t>
      </w:r>
      <w:r w:rsidRPr="009659B2">
        <w:rPr>
          <w:noProof/>
          <w:color w:val="993366"/>
          <w:szCs w:val="22"/>
          <w:lang w:val="lt-LT"/>
        </w:rPr>
        <w:t xml:space="preserve"> </w:t>
      </w:r>
      <w:r w:rsidRPr="009659B2">
        <w:rPr>
          <w:noProof/>
          <w:szCs w:val="22"/>
          <w:lang w:val="lt-LT"/>
        </w:rPr>
        <w:t>atliekomis. Kaip išmesti nereikalingus vaistus, klauskite vaistininko. Šios priemonės padės apsaugoti aplinką.</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left="567" w:right="-2" w:hanging="567"/>
        <w:rPr>
          <w:b/>
          <w:noProof/>
          <w:szCs w:val="22"/>
          <w:lang w:val="lt-LT"/>
        </w:rPr>
      </w:pPr>
      <w:r w:rsidRPr="009659B2">
        <w:rPr>
          <w:b/>
          <w:noProof/>
          <w:szCs w:val="22"/>
          <w:lang w:val="lt-LT"/>
        </w:rPr>
        <w:t>6.</w:t>
      </w:r>
      <w:r w:rsidRPr="009659B2">
        <w:rPr>
          <w:b/>
          <w:noProof/>
          <w:szCs w:val="22"/>
          <w:lang w:val="lt-LT"/>
        </w:rPr>
        <w:tab/>
        <w:t>Pakuotės turinys ir kita informacija</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b/>
          <w:bCs/>
          <w:noProof/>
          <w:szCs w:val="22"/>
          <w:lang w:val="lt-LT"/>
        </w:rPr>
      </w:pPr>
      <w:r w:rsidRPr="009659B2">
        <w:rPr>
          <w:b/>
          <w:bCs/>
          <w:noProof/>
          <w:szCs w:val="22"/>
          <w:lang w:val="lt-LT"/>
        </w:rPr>
        <w:t>Kalinor sudėtis</w:t>
      </w:r>
    </w:p>
    <w:p w:rsidR="005B79C4" w:rsidRPr="009659B2" w:rsidRDefault="005B79C4" w:rsidP="005B79C4">
      <w:pPr>
        <w:numPr>
          <w:ilvl w:val="12"/>
          <w:numId w:val="0"/>
        </w:numPr>
        <w:tabs>
          <w:tab w:val="clear" w:pos="567"/>
        </w:tabs>
        <w:spacing w:line="240" w:lineRule="auto"/>
        <w:ind w:right="-2"/>
        <w:rPr>
          <w:noProof/>
          <w:szCs w:val="22"/>
          <w:u w:val="single"/>
          <w:lang w:val="lt-LT"/>
        </w:rPr>
      </w:pPr>
    </w:p>
    <w:p w:rsidR="005B79C4" w:rsidRPr="009659B2" w:rsidRDefault="005B79C4" w:rsidP="005B79C4">
      <w:pPr>
        <w:numPr>
          <w:ilvl w:val="0"/>
          <w:numId w:val="1"/>
        </w:numPr>
        <w:tabs>
          <w:tab w:val="clear" w:pos="567"/>
        </w:tabs>
        <w:spacing w:line="240" w:lineRule="auto"/>
        <w:ind w:left="567" w:right="-2" w:hanging="567"/>
        <w:rPr>
          <w:i/>
          <w:iCs/>
          <w:noProof/>
          <w:szCs w:val="22"/>
          <w:lang w:val="lt-LT"/>
        </w:rPr>
      </w:pPr>
      <w:r w:rsidRPr="009659B2">
        <w:rPr>
          <w:noProof/>
          <w:szCs w:val="22"/>
          <w:lang w:val="lt-LT"/>
        </w:rPr>
        <w:t>Veikliosios medžiagos yra: kalio citratas, kalio-vandenilio karbonatas ir citrinų rūgštis. Kiekvienoje šnypščiojoje tabletėje yra 2,17 g kalio citrato, 2,00 kalio vandenilio karbonato ir 2,057 g citrinų rūgšties.</w:t>
      </w:r>
    </w:p>
    <w:p w:rsidR="005B79C4" w:rsidRPr="009659B2" w:rsidRDefault="005B79C4" w:rsidP="005B79C4">
      <w:pPr>
        <w:numPr>
          <w:ilvl w:val="0"/>
          <w:numId w:val="1"/>
        </w:numPr>
        <w:tabs>
          <w:tab w:val="clear" w:pos="567"/>
        </w:tabs>
        <w:spacing w:line="240" w:lineRule="auto"/>
        <w:ind w:left="567" w:right="-2" w:hanging="567"/>
        <w:rPr>
          <w:noProof/>
          <w:szCs w:val="22"/>
          <w:lang w:val="lt-LT"/>
        </w:rPr>
      </w:pPr>
      <w:r w:rsidRPr="009659B2">
        <w:rPr>
          <w:noProof/>
          <w:szCs w:val="22"/>
          <w:lang w:val="lt-LT"/>
        </w:rPr>
        <w:t xml:space="preserve">Pagalbinės medžiagos yra </w:t>
      </w:r>
      <w:r>
        <w:rPr>
          <w:noProof/>
          <w:szCs w:val="22"/>
          <w:lang w:val="lt-LT"/>
        </w:rPr>
        <w:t>leucinas</w:t>
      </w:r>
      <w:r w:rsidRPr="009659B2">
        <w:rPr>
          <w:noProof/>
          <w:szCs w:val="22"/>
          <w:lang w:val="lt-LT"/>
        </w:rPr>
        <w:t>, sacharinas, sacharozės ir gliukozės sirupas (99,5 : 0,5) ir citrinų aromatinė medžiaga.</w:t>
      </w:r>
    </w:p>
    <w:p w:rsidR="005B79C4" w:rsidRPr="009659B2" w:rsidRDefault="005B79C4" w:rsidP="005B79C4">
      <w:pPr>
        <w:tabs>
          <w:tab w:val="clear" w:pos="567"/>
        </w:tabs>
        <w:spacing w:line="240" w:lineRule="auto"/>
        <w:ind w:right="-2"/>
        <w:rPr>
          <w:noProof/>
          <w:szCs w:val="22"/>
          <w:lang w:val="lt-LT"/>
        </w:rPr>
      </w:pPr>
    </w:p>
    <w:p w:rsidR="005B79C4" w:rsidRPr="009659B2" w:rsidRDefault="005B79C4" w:rsidP="005B79C4">
      <w:pPr>
        <w:tabs>
          <w:tab w:val="clear" w:pos="567"/>
        </w:tabs>
        <w:spacing w:line="240" w:lineRule="auto"/>
        <w:ind w:right="-2"/>
        <w:rPr>
          <w:noProof/>
          <w:szCs w:val="22"/>
          <w:lang w:val="lt-LT"/>
        </w:rPr>
      </w:pPr>
      <w:r w:rsidRPr="009659B2">
        <w:rPr>
          <w:noProof/>
          <w:szCs w:val="22"/>
          <w:lang w:val="lt-LT"/>
        </w:rPr>
        <w:t>Paruoštame geriamajame tirpale yra: 40,0 mmol kalio jonų (atitinka 1,56 g kalio), ne mažiau, kaip 13,3 mmol citrato jonų.</w:t>
      </w:r>
    </w:p>
    <w:p w:rsidR="005B79C4" w:rsidRPr="009659B2" w:rsidRDefault="005B79C4" w:rsidP="005B79C4">
      <w:p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b/>
          <w:bCs/>
          <w:noProof/>
          <w:szCs w:val="22"/>
          <w:lang w:val="lt-LT"/>
        </w:rPr>
      </w:pPr>
      <w:r w:rsidRPr="009659B2">
        <w:rPr>
          <w:b/>
          <w:bCs/>
          <w:noProof/>
          <w:szCs w:val="22"/>
          <w:lang w:val="lt-LT"/>
        </w:rPr>
        <w:t>Kalinor išvaizda ir kiekis pakuotėje</w:t>
      </w:r>
    </w:p>
    <w:p w:rsidR="005B79C4" w:rsidRPr="009659B2" w:rsidRDefault="005B79C4" w:rsidP="005B79C4">
      <w:pPr>
        <w:numPr>
          <w:ilvl w:val="12"/>
          <w:numId w:val="0"/>
        </w:numPr>
        <w:tabs>
          <w:tab w:val="clear" w:pos="567"/>
        </w:tabs>
        <w:spacing w:line="240" w:lineRule="auto"/>
        <w:ind w:right="-2"/>
        <w:rPr>
          <w:noProof/>
          <w:szCs w:val="22"/>
          <w:u w:val="single"/>
          <w:lang w:val="lt-LT"/>
        </w:rPr>
      </w:pPr>
    </w:p>
    <w:p w:rsidR="005B79C4" w:rsidRPr="009659B2" w:rsidRDefault="005B79C4" w:rsidP="005B79C4">
      <w:pPr>
        <w:spacing w:line="240" w:lineRule="auto"/>
        <w:rPr>
          <w:noProof/>
          <w:szCs w:val="22"/>
          <w:lang w:val="lt-LT"/>
        </w:rPr>
      </w:pPr>
      <w:r w:rsidRPr="009659B2">
        <w:rPr>
          <w:noProof/>
          <w:szCs w:val="22"/>
          <w:lang w:val="lt-LT"/>
        </w:rPr>
        <w:t>Šnypščiosios tabletės yra a</w:t>
      </w:r>
      <w:r w:rsidRPr="009659B2">
        <w:rPr>
          <w:noProof/>
          <w:color w:val="000000"/>
          <w:szCs w:val="22"/>
          <w:lang w:val="lt-LT"/>
        </w:rPr>
        <w:t>pvalios, baltos, grublėtu paviršiumi, iš abejų pusių nuožulniais kraštais.</w:t>
      </w:r>
    </w:p>
    <w:p w:rsidR="005B79C4" w:rsidRPr="009659B2" w:rsidRDefault="005B79C4" w:rsidP="005B79C4">
      <w:pPr>
        <w:pStyle w:val="Pagrindiniotekstotrauka"/>
        <w:ind w:left="0"/>
        <w:rPr>
          <w:lang w:val="lt-LT"/>
        </w:rPr>
      </w:pPr>
      <w:r w:rsidRPr="009659B2">
        <w:rPr>
          <w:lang w:val="lt-LT"/>
        </w:rPr>
        <w:t>Kartono dėžutėje yra viena balta plastikinė tūbelė, kurioje yra 15 šnypščiųjų tablečių.</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numPr>
          <w:ilvl w:val="12"/>
          <w:numId w:val="0"/>
        </w:numPr>
        <w:tabs>
          <w:tab w:val="clear" w:pos="567"/>
        </w:tabs>
        <w:spacing w:line="240" w:lineRule="auto"/>
        <w:ind w:right="-2"/>
        <w:rPr>
          <w:b/>
          <w:bCs/>
          <w:noProof/>
          <w:szCs w:val="22"/>
          <w:lang w:val="lt-LT"/>
        </w:rPr>
      </w:pPr>
      <w:r w:rsidRPr="009659B2">
        <w:rPr>
          <w:b/>
          <w:bCs/>
          <w:noProof/>
          <w:szCs w:val="22"/>
          <w:lang w:val="lt-LT"/>
        </w:rPr>
        <w:t>Registruotojas ir gamintojas</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A55E27" w:rsidRDefault="005B79C4" w:rsidP="005B79C4">
      <w:pPr>
        <w:tabs>
          <w:tab w:val="clear" w:pos="567"/>
        </w:tabs>
        <w:spacing w:line="240" w:lineRule="auto"/>
        <w:rPr>
          <w:b/>
          <w:noProof/>
          <w:szCs w:val="22"/>
          <w:lang w:val="lt-LT"/>
        </w:rPr>
      </w:pPr>
      <w:r w:rsidRPr="00A55E27">
        <w:rPr>
          <w:b/>
          <w:bCs/>
          <w:noProof/>
          <w:szCs w:val="22"/>
          <w:lang w:val="lt-LT"/>
        </w:rPr>
        <w:t>Registruotojas</w:t>
      </w:r>
    </w:p>
    <w:p w:rsidR="005B79C4" w:rsidRPr="009659B2" w:rsidRDefault="005B79C4" w:rsidP="005B79C4">
      <w:pPr>
        <w:rPr>
          <w:rFonts w:eastAsia="Arial Unicode MS"/>
          <w:noProof/>
          <w:szCs w:val="22"/>
          <w:lang w:val="lt-LT"/>
        </w:rPr>
      </w:pPr>
      <w:r w:rsidRPr="009659B2">
        <w:rPr>
          <w:rFonts w:eastAsia="Arial Unicode MS"/>
          <w:noProof/>
          <w:szCs w:val="22"/>
          <w:lang w:val="lt-LT"/>
        </w:rPr>
        <w:t>Desma GmbH</w:t>
      </w:r>
    </w:p>
    <w:p w:rsidR="005B79C4" w:rsidRPr="009659B2" w:rsidRDefault="005B79C4" w:rsidP="005B79C4">
      <w:pPr>
        <w:rPr>
          <w:rFonts w:eastAsia="Arial Unicode MS"/>
          <w:noProof/>
          <w:szCs w:val="22"/>
          <w:lang w:val="lt-LT"/>
        </w:rPr>
      </w:pPr>
      <w:r w:rsidRPr="009659B2">
        <w:rPr>
          <w:rFonts w:eastAsia="Arial Unicode MS"/>
          <w:noProof/>
          <w:szCs w:val="22"/>
          <w:lang w:val="lt-LT"/>
        </w:rPr>
        <w:t xml:space="preserve">Peter-Sander-Str. 41 B </w:t>
      </w:r>
    </w:p>
    <w:p w:rsidR="005B79C4" w:rsidRPr="009659B2" w:rsidRDefault="005B79C4" w:rsidP="005B79C4">
      <w:pPr>
        <w:rPr>
          <w:rFonts w:eastAsia="Arial Unicode MS"/>
          <w:noProof/>
          <w:szCs w:val="22"/>
          <w:lang w:val="lt-LT"/>
        </w:rPr>
      </w:pPr>
      <w:r w:rsidRPr="009659B2">
        <w:rPr>
          <w:rFonts w:eastAsia="Arial Unicode MS"/>
          <w:noProof/>
          <w:szCs w:val="22"/>
          <w:lang w:val="lt-LT"/>
        </w:rPr>
        <w:t>55252 Mainz- Kastel</w:t>
      </w:r>
    </w:p>
    <w:p w:rsidR="005B79C4" w:rsidRPr="009659B2" w:rsidRDefault="005B79C4" w:rsidP="005B79C4">
      <w:pPr>
        <w:numPr>
          <w:ilvl w:val="12"/>
          <w:numId w:val="0"/>
        </w:numPr>
        <w:shd w:val="clear" w:color="auto" w:fill="FFFFFF"/>
        <w:spacing w:line="240" w:lineRule="auto"/>
        <w:rPr>
          <w:szCs w:val="22"/>
          <w:lang w:val="lt-LT"/>
        </w:rPr>
      </w:pPr>
      <w:r w:rsidRPr="009659B2">
        <w:rPr>
          <w:rFonts w:eastAsia="Arial Unicode MS"/>
          <w:noProof/>
          <w:szCs w:val="22"/>
          <w:lang w:val="lt-LT"/>
        </w:rPr>
        <w:t>Vokietija</w:t>
      </w:r>
    </w:p>
    <w:p w:rsidR="005B79C4" w:rsidRPr="009659B2" w:rsidRDefault="005B79C4" w:rsidP="005B79C4">
      <w:pPr>
        <w:numPr>
          <w:ilvl w:val="12"/>
          <w:numId w:val="0"/>
        </w:numPr>
        <w:shd w:val="clear" w:color="auto" w:fill="FFFFFF"/>
        <w:spacing w:line="240" w:lineRule="auto"/>
        <w:rPr>
          <w:szCs w:val="22"/>
          <w:lang w:val="lt-LT"/>
        </w:rPr>
      </w:pPr>
    </w:p>
    <w:p w:rsidR="005B79C4" w:rsidRPr="00A55E27" w:rsidRDefault="005B79C4" w:rsidP="005B79C4">
      <w:pPr>
        <w:numPr>
          <w:ilvl w:val="12"/>
          <w:numId w:val="0"/>
        </w:numPr>
        <w:shd w:val="clear" w:color="auto" w:fill="FFFFFF"/>
        <w:spacing w:line="240" w:lineRule="auto"/>
        <w:rPr>
          <w:b/>
          <w:szCs w:val="22"/>
          <w:lang w:val="lt-LT"/>
        </w:rPr>
      </w:pPr>
      <w:r w:rsidRPr="00A55E27">
        <w:rPr>
          <w:b/>
          <w:szCs w:val="22"/>
          <w:lang w:val="lt-LT"/>
        </w:rPr>
        <w:t>Gamintojas</w:t>
      </w:r>
    </w:p>
    <w:p w:rsidR="005B79C4" w:rsidRPr="00FB61FA" w:rsidRDefault="005B79C4" w:rsidP="005B79C4">
      <w:pPr>
        <w:numPr>
          <w:ilvl w:val="12"/>
          <w:numId w:val="0"/>
        </w:numPr>
        <w:shd w:val="clear" w:color="auto" w:fill="FFFFFF"/>
        <w:spacing w:line="240" w:lineRule="auto"/>
        <w:rPr>
          <w:iCs/>
          <w:szCs w:val="22"/>
          <w:lang w:val="lt-LT"/>
        </w:rPr>
      </w:pPr>
      <w:r w:rsidRPr="00FB61FA">
        <w:rPr>
          <w:iCs/>
          <w:szCs w:val="22"/>
          <w:lang w:val="lt-LT"/>
        </w:rPr>
        <w:t>E-Pharma Trento S.p.A.</w:t>
      </w:r>
    </w:p>
    <w:p w:rsidR="005B79C4" w:rsidRDefault="005B79C4" w:rsidP="005B79C4">
      <w:pPr>
        <w:tabs>
          <w:tab w:val="left" w:pos="0"/>
        </w:tabs>
        <w:spacing w:line="240" w:lineRule="auto"/>
        <w:ind w:right="567"/>
        <w:rPr>
          <w:iCs/>
          <w:szCs w:val="22"/>
          <w:lang w:val="lt-LT"/>
        </w:rPr>
      </w:pPr>
      <w:r w:rsidRPr="006A1EB7">
        <w:rPr>
          <w:iCs/>
          <w:szCs w:val="22"/>
          <w:lang w:val="lt-LT"/>
        </w:rPr>
        <w:t>Frazione Ravina</w:t>
      </w:r>
      <w:r>
        <w:rPr>
          <w:iCs/>
          <w:szCs w:val="22"/>
          <w:lang w:val="lt-LT"/>
        </w:rPr>
        <w:t xml:space="preserve">, </w:t>
      </w:r>
      <w:r w:rsidRPr="006A1EB7">
        <w:rPr>
          <w:iCs/>
          <w:szCs w:val="22"/>
          <w:lang w:val="lt-LT"/>
        </w:rPr>
        <w:t xml:space="preserve">Via Provina, 2 </w:t>
      </w:r>
    </w:p>
    <w:p w:rsidR="005B79C4" w:rsidRDefault="005B79C4" w:rsidP="005B79C4">
      <w:pPr>
        <w:tabs>
          <w:tab w:val="left" w:pos="0"/>
        </w:tabs>
        <w:spacing w:line="240" w:lineRule="auto"/>
        <w:ind w:right="567"/>
        <w:rPr>
          <w:iCs/>
          <w:szCs w:val="22"/>
          <w:lang w:val="lt-LT"/>
        </w:rPr>
      </w:pPr>
      <w:r w:rsidRPr="00FB61FA">
        <w:rPr>
          <w:iCs/>
          <w:szCs w:val="22"/>
          <w:lang w:val="lt-LT"/>
        </w:rPr>
        <w:t>Trento (TN)</w:t>
      </w:r>
    </w:p>
    <w:p w:rsidR="005B79C4" w:rsidRPr="009659B2" w:rsidRDefault="005B79C4" w:rsidP="005B79C4">
      <w:pPr>
        <w:tabs>
          <w:tab w:val="left" w:pos="0"/>
        </w:tabs>
        <w:spacing w:line="240" w:lineRule="auto"/>
        <w:ind w:right="567"/>
        <w:rPr>
          <w:iCs/>
          <w:szCs w:val="22"/>
          <w:lang w:val="lt-LT"/>
        </w:rPr>
      </w:pPr>
      <w:r w:rsidRPr="00FB61FA">
        <w:rPr>
          <w:iCs/>
          <w:szCs w:val="22"/>
          <w:lang w:val="lt-LT"/>
        </w:rPr>
        <w:t>Italija</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spacing w:line="240" w:lineRule="auto"/>
        <w:rPr>
          <w:noProof/>
          <w:szCs w:val="22"/>
          <w:lang w:val="lt-LT"/>
        </w:rPr>
      </w:pPr>
      <w:r w:rsidRPr="009659B2">
        <w:rPr>
          <w:noProof/>
          <w:szCs w:val="22"/>
          <w:lang w:val="lt-LT"/>
        </w:rPr>
        <w:t>Jeigu apie šį vaistą norite sužinoti daugiau, kreipkitės į vietinį registruotojo atstovą.</w:t>
      </w:r>
    </w:p>
    <w:p w:rsidR="005B79C4" w:rsidRPr="009659B2" w:rsidRDefault="005B79C4" w:rsidP="005B79C4">
      <w:pPr>
        <w:spacing w:line="240" w:lineRule="auto"/>
        <w:rPr>
          <w:noProof/>
          <w:szCs w:val="22"/>
          <w:lang w:val="lt-LT"/>
        </w:rPr>
      </w:pPr>
    </w:p>
    <w:p w:rsidR="005B79C4" w:rsidRPr="00A55E27" w:rsidRDefault="005B79C4" w:rsidP="005B79C4">
      <w:pPr>
        <w:numPr>
          <w:ilvl w:val="12"/>
          <w:numId w:val="0"/>
        </w:numPr>
        <w:ind w:left="567" w:hanging="567"/>
        <w:rPr>
          <w:szCs w:val="22"/>
          <w:lang w:val="de-DE"/>
        </w:rPr>
      </w:pPr>
      <w:r w:rsidRPr="00A55E27">
        <w:rPr>
          <w:szCs w:val="22"/>
          <w:lang w:val="de-DE"/>
        </w:rPr>
        <w:t>KBM Pharma Ltd.</w:t>
      </w:r>
    </w:p>
    <w:p w:rsidR="005B79C4" w:rsidRPr="00A55E27" w:rsidRDefault="005B79C4" w:rsidP="005B79C4">
      <w:pPr>
        <w:numPr>
          <w:ilvl w:val="12"/>
          <w:numId w:val="0"/>
        </w:numPr>
        <w:ind w:left="567" w:hanging="567"/>
        <w:rPr>
          <w:szCs w:val="22"/>
          <w:lang w:val="de-DE"/>
        </w:rPr>
      </w:pPr>
      <w:r w:rsidRPr="00A55E27">
        <w:rPr>
          <w:szCs w:val="22"/>
          <w:lang w:val="de-DE"/>
        </w:rPr>
        <w:t>Tähtvere 4</w:t>
      </w:r>
    </w:p>
    <w:p w:rsidR="005B79C4" w:rsidRPr="00A55E27" w:rsidRDefault="005B79C4" w:rsidP="005B79C4">
      <w:pPr>
        <w:numPr>
          <w:ilvl w:val="12"/>
          <w:numId w:val="0"/>
        </w:numPr>
        <w:ind w:left="567" w:hanging="567"/>
        <w:rPr>
          <w:szCs w:val="22"/>
          <w:lang w:val="de-DE"/>
        </w:rPr>
      </w:pPr>
      <w:r w:rsidRPr="00A55E27">
        <w:rPr>
          <w:szCs w:val="22"/>
          <w:lang w:val="de-DE"/>
        </w:rPr>
        <w:lastRenderedPageBreak/>
        <w:t>51007 Tartu</w:t>
      </w:r>
    </w:p>
    <w:p w:rsidR="005B79C4" w:rsidRPr="00A55E27" w:rsidRDefault="005B79C4" w:rsidP="005B79C4">
      <w:pPr>
        <w:numPr>
          <w:ilvl w:val="12"/>
          <w:numId w:val="0"/>
        </w:numPr>
        <w:ind w:left="567" w:hanging="567"/>
        <w:rPr>
          <w:szCs w:val="22"/>
          <w:lang w:val="de-DE"/>
        </w:rPr>
      </w:pPr>
      <w:r w:rsidRPr="00A55E27">
        <w:rPr>
          <w:szCs w:val="22"/>
          <w:lang w:val="de-DE"/>
        </w:rPr>
        <w:t>Estija</w:t>
      </w:r>
    </w:p>
    <w:p w:rsidR="005B79C4" w:rsidRPr="00A55E27" w:rsidRDefault="005B79C4" w:rsidP="005B79C4">
      <w:pPr>
        <w:numPr>
          <w:ilvl w:val="12"/>
          <w:numId w:val="0"/>
        </w:numPr>
        <w:ind w:left="567" w:hanging="567"/>
        <w:rPr>
          <w:szCs w:val="22"/>
          <w:lang w:val="de-DE"/>
        </w:rPr>
      </w:pPr>
      <w:r w:rsidRPr="00A55E27">
        <w:rPr>
          <w:szCs w:val="22"/>
          <w:lang w:val="de-DE"/>
        </w:rPr>
        <w:t>Tel: +372 733 8080</w:t>
      </w:r>
    </w:p>
    <w:p w:rsidR="005B79C4" w:rsidRPr="009659B2" w:rsidRDefault="005B79C4" w:rsidP="005B79C4">
      <w:pPr>
        <w:spacing w:line="240" w:lineRule="auto"/>
        <w:rPr>
          <w:noProof/>
          <w:szCs w:val="22"/>
          <w:lang w:val="lt-LT"/>
        </w:rPr>
      </w:pPr>
      <w:r w:rsidRPr="00A55E27">
        <w:rPr>
          <w:szCs w:val="22"/>
          <w:lang w:val="de-DE"/>
        </w:rPr>
        <w:t>Fax: +372 733 8081</w:t>
      </w:r>
    </w:p>
    <w:p w:rsidR="005B79C4" w:rsidRPr="009659B2" w:rsidRDefault="005B79C4" w:rsidP="005B79C4">
      <w:pPr>
        <w:spacing w:line="240" w:lineRule="auto"/>
        <w:rPr>
          <w:noProof/>
          <w:szCs w:val="22"/>
          <w:lang w:val="lt-LT"/>
        </w:rPr>
      </w:pPr>
    </w:p>
    <w:p w:rsidR="005B79C4" w:rsidRPr="009659B2" w:rsidRDefault="005B79C4" w:rsidP="005B79C4">
      <w:pPr>
        <w:spacing w:line="240" w:lineRule="auto"/>
        <w:rPr>
          <w:noProof/>
          <w:szCs w:val="22"/>
          <w:lang w:val="lt-LT"/>
        </w:rPr>
      </w:pPr>
    </w:p>
    <w:p w:rsidR="005B79C4" w:rsidRPr="009659B2" w:rsidRDefault="005B79C4" w:rsidP="005B79C4">
      <w:pPr>
        <w:numPr>
          <w:ilvl w:val="12"/>
          <w:numId w:val="0"/>
        </w:numPr>
        <w:tabs>
          <w:tab w:val="clear" w:pos="567"/>
        </w:tabs>
        <w:spacing w:line="240" w:lineRule="auto"/>
        <w:ind w:right="-2"/>
        <w:outlineLvl w:val="0"/>
        <w:rPr>
          <w:noProof/>
          <w:szCs w:val="22"/>
          <w:lang w:val="lt-LT"/>
        </w:rPr>
      </w:pPr>
      <w:r w:rsidRPr="009659B2">
        <w:rPr>
          <w:b/>
          <w:bCs/>
          <w:noProof/>
          <w:szCs w:val="22"/>
          <w:lang w:val="lt-LT"/>
        </w:rPr>
        <w:t xml:space="preserve">Šis pakuotės </w:t>
      </w:r>
      <w:r w:rsidRPr="009659B2">
        <w:rPr>
          <w:b/>
          <w:noProof/>
          <w:szCs w:val="22"/>
          <w:lang w:val="lt-LT"/>
        </w:rPr>
        <w:t xml:space="preserve">lapelis paskutinį kartą peržiūrėtas </w:t>
      </w:r>
      <w:r>
        <w:rPr>
          <w:b/>
          <w:noProof/>
          <w:szCs w:val="22"/>
          <w:lang w:val="en-US"/>
        </w:rPr>
        <w:t>2021-06-</w:t>
      </w:r>
      <w:r>
        <w:rPr>
          <w:b/>
          <w:noProof/>
          <w:szCs w:val="22"/>
          <w:lang w:val="lt-LT"/>
        </w:rPr>
        <w:t>25.</w:t>
      </w:r>
    </w:p>
    <w:p w:rsidR="005B79C4" w:rsidRPr="009659B2" w:rsidRDefault="005B79C4" w:rsidP="005B79C4">
      <w:pPr>
        <w:numPr>
          <w:ilvl w:val="12"/>
          <w:numId w:val="0"/>
        </w:numPr>
        <w:tabs>
          <w:tab w:val="clear" w:pos="567"/>
        </w:tabs>
        <w:spacing w:line="240" w:lineRule="auto"/>
        <w:ind w:right="-2"/>
        <w:rPr>
          <w:noProof/>
          <w:szCs w:val="22"/>
          <w:lang w:val="lt-LT"/>
        </w:rPr>
      </w:pPr>
    </w:p>
    <w:p w:rsidR="005B79C4" w:rsidRPr="009659B2" w:rsidRDefault="005B79C4" w:rsidP="005B79C4">
      <w:pPr>
        <w:tabs>
          <w:tab w:val="clear" w:pos="567"/>
        </w:tabs>
        <w:spacing w:line="240" w:lineRule="auto"/>
        <w:rPr>
          <w:noProof/>
          <w:szCs w:val="22"/>
          <w:lang w:val="lt-LT"/>
        </w:rPr>
      </w:pPr>
    </w:p>
    <w:p w:rsidR="005B79C4" w:rsidRPr="009659B2" w:rsidRDefault="005B79C4" w:rsidP="005B79C4">
      <w:pPr>
        <w:pStyle w:val="BTEMEASMCA"/>
      </w:pPr>
      <w:r w:rsidRPr="009659B2">
        <w:rPr>
          <w:noProof w:val="0"/>
        </w:rPr>
        <w:t xml:space="preserve">Išsami informacija apie šį vaistą pateikiama Valstybinės vaistų kontrolės tarnybos prie Lietuvos Respublikos sveikatos apsaugos ministerijos tinklalapyje </w:t>
      </w:r>
      <w:hyperlink r:id="rId8" w:history="1">
        <w:r w:rsidRPr="009659B2">
          <w:rPr>
            <w:rStyle w:val="Hipersaitas"/>
          </w:rPr>
          <w:t>http://www.vvkt.lt/</w:t>
        </w:r>
      </w:hyperlink>
      <w:r w:rsidRPr="009659B2">
        <w:rPr>
          <w:rStyle w:val="Hipersaitas"/>
        </w:rPr>
        <w:t>.</w:t>
      </w:r>
    </w:p>
    <w:p w:rsidR="005B79C4" w:rsidRPr="009659B2" w:rsidRDefault="005B79C4" w:rsidP="005B79C4">
      <w:pPr>
        <w:tabs>
          <w:tab w:val="clear" w:pos="567"/>
        </w:tabs>
        <w:spacing w:line="240" w:lineRule="auto"/>
        <w:rPr>
          <w:noProof/>
          <w:szCs w:val="22"/>
          <w:lang w:val="lt-LT"/>
        </w:rPr>
      </w:pPr>
    </w:p>
    <w:p w:rsidR="005B79C4" w:rsidRPr="00A55E27" w:rsidRDefault="005B79C4" w:rsidP="005B79C4">
      <w:pPr>
        <w:rPr>
          <w:szCs w:val="22"/>
          <w:lang w:val="lt-LT"/>
        </w:rPr>
      </w:pPr>
    </w:p>
    <w:p w:rsidR="009041DB" w:rsidRDefault="009041DB">
      <w:bookmarkStart w:id="0" w:name="_GoBack"/>
      <w:bookmarkEnd w:id="0"/>
    </w:p>
    <w:sectPr w:rsidR="009041DB" w:rsidSect="0080277B">
      <w:headerReference w:type="default" r:id="rId9"/>
      <w:footerReference w:type="even"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5D" w:rsidRDefault="005B79C4" w:rsidP="008027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D4F5D" w:rsidRDefault="005B79C4" w:rsidP="008027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5D" w:rsidRPr="006C79B4" w:rsidRDefault="005B79C4" w:rsidP="0080277B">
    <w:pPr>
      <w:pStyle w:val="Porat"/>
      <w:framePr w:wrap="around" w:vAnchor="text" w:hAnchor="margin" w:xAlign="right" w:y="1"/>
      <w:rPr>
        <w:rStyle w:val="Puslapionumeris"/>
        <w:sz w:val="20"/>
      </w:rPr>
    </w:pPr>
    <w:r w:rsidRPr="006C79B4">
      <w:rPr>
        <w:rStyle w:val="Puslapionumeris"/>
        <w:sz w:val="20"/>
      </w:rPr>
      <w:fldChar w:fldCharType="begin"/>
    </w:r>
    <w:r w:rsidRPr="006C79B4">
      <w:rPr>
        <w:rStyle w:val="Puslapionumeris"/>
        <w:sz w:val="20"/>
      </w:rPr>
      <w:instrText xml:space="preserve">PAGE  </w:instrText>
    </w:r>
    <w:r w:rsidRPr="006C79B4">
      <w:rPr>
        <w:rStyle w:val="Puslapionumeris"/>
        <w:sz w:val="20"/>
      </w:rPr>
      <w:fldChar w:fldCharType="separate"/>
    </w:r>
    <w:r>
      <w:rPr>
        <w:rStyle w:val="Puslapionumeris"/>
        <w:noProof/>
        <w:sz w:val="20"/>
      </w:rPr>
      <w:t>5</w:t>
    </w:r>
    <w:r w:rsidRPr="006C79B4">
      <w:rPr>
        <w:rStyle w:val="Puslapionumeris"/>
        <w:sz w:val="20"/>
      </w:rPr>
      <w:fldChar w:fldCharType="end"/>
    </w:r>
  </w:p>
  <w:p w:rsidR="000D4F5D" w:rsidRDefault="005B79C4" w:rsidP="0080277B">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5D" w:rsidRDefault="005B79C4">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14" w:rsidRDefault="005B79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5B770AC"/>
    <w:multiLevelType w:val="hybridMultilevel"/>
    <w:tmpl w:val="A2D43D62"/>
    <w:lvl w:ilvl="0" w:tplc="12A22C40">
      <w:start w:val="1"/>
      <w:numFmt w:val="bullet"/>
      <w:lvlText w:val="-"/>
      <w:lvlJc w:val="left"/>
      <w:pPr>
        <w:tabs>
          <w:tab w:val="num" w:pos="340"/>
        </w:tabs>
        <w:ind w:left="340" w:hanging="34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C4"/>
    <w:rsid w:val="005B79C4"/>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99068-B8A4-4F9F-B369-784750C8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79C4"/>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5B79C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5B79C4"/>
    <w:rPr>
      <w:rFonts w:ascii="Helvetica" w:hAnsi="Helvetica" w:cs="Times New Roman"/>
      <w:sz w:val="16"/>
      <w:szCs w:val="20"/>
      <w:lang w:val="en-GB"/>
    </w:rPr>
  </w:style>
  <w:style w:type="character" w:styleId="Puslapionumeris">
    <w:name w:val="page number"/>
    <w:basedOn w:val="Numatytasispastraiposriftas"/>
    <w:semiHidden/>
    <w:rsid w:val="005B79C4"/>
  </w:style>
  <w:style w:type="paragraph" w:styleId="Pagrindiniotekstotrauka">
    <w:name w:val="Body Text Indent"/>
    <w:basedOn w:val="prastasis"/>
    <w:link w:val="PagrindiniotekstotraukaDiagrama"/>
    <w:semiHidden/>
    <w:rsid w:val="005B79C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semiHidden/>
    <w:rsid w:val="005B79C4"/>
    <w:rPr>
      <w:rFonts w:ascii="Times New Roman" w:hAnsi="Times New Roman" w:cs="Times New Roman"/>
      <w:lang w:val="en-GB" w:eastAsia="en-GB"/>
    </w:rPr>
  </w:style>
  <w:style w:type="paragraph" w:styleId="Pagrindinistekstas">
    <w:name w:val="Body Text"/>
    <w:basedOn w:val="prastasis"/>
    <w:link w:val="PagrindinistekstasDiagrama"/>
    <w:semiHidden/>
    <w:rsid w:val="005B79C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semiHidden/>
    <w:rsid w:val="005B79C4"/>
    <w:rPr>
      <w:rFonts w:ascii="Times New Roman" w:hAnsi="Times New Roman" w:cs="Times New Roman"/>
      <w:i/>
      <w:color w:val="008000"/>
      <w:szCs w:val="20"/>
      <w:lang w:val="en-GB"/>
    </w:rPr>
  </w:style>
  <w:style w:type="character" w:styleId="Hipersaitas">
    <w:name w:val="Hyperlink"/>
    <w:rsid w:val="005B79C4"/>
    <w:rPr>
      <w:color w:val="0000FF"/>
      <w:u w:val="single"/>
    </w:rPr>
  </w:style>
  <w:style w:type="paragraph" w:customStyle="1" w:styleId="BTEMEASMCA">
    <w:name w:val="BT EMEA_SMCA"/>
    <w:basedOn w:val="prastasis"/>
    <w:link w:val="BTEMEASMCAChar"/>
    <w:autoRedefine/>
    <w:rsid w:val="005B79C4"/>
    <w:pPr>
      <w:tabs>
        <w:tab w:val="clear" w:pos="567"/>
      </w:tabs>
      <w:spacing w:line="240" w:lineRule="auto"/>
    </w:pPr>
    <w:rPr>
      <w:noProof/>
      <w:szCs w:val="22"/>
      <w:lang w:val="lt-LT"/>
    </w:rPr>
  </w:style>
  <w:style w:type="character" w:customStyle="1" w:styleId="BTEMEASMCAChar">
    <w:name w:val="BT EMEA_SMCA Char"/>
    <w:link w:val="BTEMEASMCA"/>
    <w:rsid w:val="005B79C4"/>
    <w:rPr>
      <w:rFonts w:ascii="Times New Roman" w:hAnsi="Times New Roman" w:cs="Times New Roman"/>
      <w:noProof/>
    </w:rPr>
  </w:style>
  <w:style w:type="paragraph" w:styleId="Antrats">
    <w:name w:val="header"/>
    <w:basedOn w:val="prastasis"/>
    <w:link w:val="AntratsDiagrama"/>
    <w:uiPriority w:val="99"/>
    <w:unhideWhenUsed/>
    <w:rsid w:val="005B79C4"/>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B79C4"/>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7177</Words>
  <Characters>4092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2021-06-28T08:14:00Z</dcterms:created>
  <dcterms:modified xsi:type="dcterms:W3CDTF">2021-06-28T08:15:00Z</dcterms:modified>
</cp:coreProperties>
</file>