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DDF" w:rsidRPr="007543F8" w:rsidRDefault="00C95DDF" w:rsidP="00C95DDF">
      <w:pPr>
        <w:pStyle w:val="Antrat4"/>
        <w:jc w:val="center"/>
        <w:rPr>
          <w:rFonts w:ascii="Times New Roman" w:hAnsi="Times New Roman" w:cs="Times New Roman"/>
          <w:b/>
          <w:i w:val="0"/>
          <w:color w:val="000000" w:themeColor="text1"/>
          <w:szCs w:val="22"/>
        </w:rPr>
      </w:pPr>
      <w:r w:rsidRPr="007543F8">
        <w:rPr>
          <w:rFonts w:ascii="Times New Roman" w:hAnsi="Times New Roman" w:cs="Times New Roman"/>
          <w:b/>
          <w:i w:val="0"/>
          <w:color w:val="000000" w:themeColor="text1"/>
          <w:szCs w:val="22"/>
        </w:rPr>
        <w:t>Pakuotės lapelis: informacija vartotojui</w:t>
      </w:r>
    </w:p>
    <w:p w:rsidR="00C95DDF" w:rsidRPr="007543F8" w:rsidRDefault="00C95DDF" w:rsidP="00C95DDF">
      <w:pPr>
        <w:pStyle w:val="TTEMEASMCA"/>
      </w:pPr>
    </w:p>
    <w:p w:rsidR="00C95DDF" w:rsidRPr="007543F8" w:rsidRDefault="00C95DDF" w:rsidP="00C95DDF">
      <w:pPr>
        <w:pStyle w:val="Pagrindinistekstas"/>
        <w:spacing w:after="0"/>
        <w:jc w:val="center"/>
        <w:rPr>
          <w:b/>
          <w:szCs w:val="22"/>
        </w:rPr>
      </w:pPr>
      <w:r w:rsidRPr="007543F8">
        <w:rPr>
          <w:b/>
          <w:szCs w:val="22"/>
        </w:rPr>
        <w:t>OXYCORT 9,3 mg/3,1 mg/g odos purškalas (suspensija)</w:t>
      </w:r>
    </w:p>
    <w:p w:rsidR="00C95DDF" w:rsidRPr="007543F8" w:rsidRDefault="00C95DDF" w:rsidP="00C95DDF">
      <w:pPr>
        <w:pStyle w:val="Pagrindinistekstas"/>
        <w:spacing w:after="0"/>
        <w:jc w:val="center"/>
        <w:rPr>
          <w:szCs w:val="22"/>
        </w:rPr>
      </w:pPr>
      <w:proofErr w:type="spellStart"/>
      <w:r w:rsidRPr="007543F8">
        <w:rPr>
          <w:szCs w:val="22"/>
        </w:rPr>
        <w:t>Oksitetraciklinas</w:t>
      </w:r>
      <w:proofErr w:type="spellEnd"/>
      <w:r w:rsidRPr="007543F8">
        <w:rPr>
          <w:szCs w:val="22"/>
        </w:rPr>
        <w:t>, hidrokortizonas</w:t>
      </w:r>
    </w:p>
    <w:p w:rsidR="00C95DDF" w:rsidRPr="007543F8" w:rsidRDefault="00C95DDF" w:rsidP="00C95DDF">
      <w:pPr>
        <w:pStyle w:val="BTEMEASMCA"/>
      </w:pPr>
    </w:p>
    <w:p w:rsidR="00C95DDF" w:rsidRPr="007543F8" w:rsidRDefault="00C95DDF" w:rsidP="00C95DDF">
      <w:pPr>
        <w:pStyle w:val="BTbEMEASMCA"/>
        <w:rPr>
          <w:szCs w:val="22"/>
        </w:rPr>
      </w:pPr>
      <w:r w:rsidRPr="007543F8">
        <w:rPr>
          <w:szCs w:val="22"/>
        </w:rPr>
        <w:t>Atidžiai perskaitykite visą šį lapelį, prieš pradėdami vartoti vaistą, nes jame pateikiama Jums svarbi informacija.</w:t>
      </w:r>
    </w:p>
    <w:p w:rsidR="00C95DDF" w:rsidRPr="007543F8" w:rsidRDefault="00C95DDF" w:rsidP="00C95DDF">
      <w:pPr>
        <w:pStyle w:val="BT-EMEASMCA"/>
        <w:tabs>
          <w:tab w:val="clear" w:pos="567"/>
          <w:tab w:val="num" w:pos="720"/>
        </w:tabs>
        <w:ind w:left="720" w:hanging="363"/>
        <w:rPr>
          <w:szCs w:val="22"/>
        </w:rPr>
      </w:pPr>
      <w:r w:rsidRPr="007543F8">
        <w:rPr>
          <w:szCs w:val="22"/>
        </w:rPr>
        <w:t>Neišmeskite šio lapelio, nes vėl gali prireikti jį perskaityti.</w:t>
      </w:r>
    </w:p>
    <w:p w:rsidR="00C95DDF" w:rsidRPr="007543F8" w:rsidRDefault="00C95DDF" w:rsidP="00C95DDF">
      <w:pPr>
        <w:pStyle w:val="BT-EMEASMCA"/>
        <w:tabs>
          <w:tab w:val="clear" w:pos="567"/>
          <w:tab w:val="num" w:pos="720"/>
        </w:tabs>
        <w:ind w:left="720" w:hanging="363"/>
        <w:rPr>
          <w:szCs w:val="22"/>
        </w:rPr>
      </w:pPr>
      <w:r w:rsidRPr="007543F8">
        <w:rPr>
          <w:szCs w:val="22"/>
        </w:rPr>
        <w:t>Jeigu kiltų daugiau klausimų, kreipkitės į gydytoją arba vaistininką.</w:t>
      </w:r>
    </w:p>
    <w:p w:rsidR="00C95DDF" w:rsidRPr="007543F8" w:rsidRDefault="00C95DDF" w:rsidP="00C95DDF">
      <w:pPr>
        <w:pStyle w:val="BT-EMEASMCA"/>
        <w:tabs>
          <w:tab w:val="clear" w:pos="567"/>
          <w:tab w:val="num" w:pos="720"/>
        </w:tabs>
        <w:ind w:left="720" w:hanging="363"/>
        <w:rPr>
          <w:szCs w:val="22"/>
        </w:rPr>
      </w:pPr>
      <w:r w:rsidRPr="007543F8">
        <w:rPr>
          <w:noProof/>
          <w:szCs w:val="22"/>
        </w:rPr>
        <w:t>Šis vaistas skirtas tik Jums, todėl kitiems žmonėms jo duoti negalima.</w:t>
      </w:r>
      <w:r w:rsidRPr="007543F8">
        <w:rPr>
          <w:szCs w:val="22"/>
        </w:rPr>
        <w:t xml:space="preserve"> </w:t>
      </w:r>
      <w:r w:rsidRPr="007543F8">
        <w:rPr>
          <w:noProof/>
          <w:szCs w:val="22"/>
        </w:rPr>
        <w:t>Vaistas gali jiems pakenkti (net tiems, kurių ligos požymiai yra tokie patys kaip Jūsų)</w:t>
      </w:r>
      <w:r w:rsidRPr="007543F8">
        <w:rPr>
          <w:szCs w:val="22"/>
        </w:rPr>
        <w:t>.</w:t>
      </w:r>
    </w:p>
    <w:p w:rsidR="00C95DDF" w:rsidRPr="007543F8" w:rsidRDefault="00C95DDF" w:rsidP="00C95DDF">
      <w:pPr>
        <w:pStyle w:val="BT-EMEASMCA"/>
        <w:tabs>
          <w:tab w:val="clear" w:pos="567"/>
          <w:tab w:val="num" w:pos="720"/>
        </w:tabs>
        <w:ind w:left="720" w:hanging="363"/>
        <w:rPr>
          <w:szCs w:val="22"/>
        </w:rPr>
      </w:pPr>
      <w:r w:rsidRPr="007543F8">
        <w:rPr>
          <w:szCs w:val="22"/>
        </w:rPr>
        <w:t>Jeigu pasireiškė šalutinis poveikis (net jeigu jis šiame lapelyje nenurodytas), kreipkitės į gydytoją arba vaistininką. Žr. 4 skyrių.</w:t>
      </w:r>
    </w:p>
    <w:p w:rsidR="00C95DDF" w:rsidRPr="007543F8" w:rsidRDefault="00C95DDF" w:rsidP="00C95DDF">
      <w:pPr>
        <w:pStyle w:val="BTEMEASMCA"/>
      </w:pPr>
    </w:p>
    <w:p w:rsidR="00C95DDF" w:rsidRPr="007543F8" w:rsidRDefault="00C95DDF" w:rsidP="00C95DDF">
      <w:pPr>
        <w:pStyle w:val="BTEMEASMCA"/>
      </w:pPr>
    </w:p>
    <w:p w:rsidR="00C95DDF" w:rsidRPr="007543F8" w:rsidRDefault="00C95DDF" w:rsidP="00C95DDF">
      <w:pPr>
        <w:pStyle w:val="Antrat4"/>
        <w:rPr>
          <w:rFonts w:ascii="Times New Roman" w:hAnsi="Times New Roman" w:cs="Times New Roman"/>
          <w:b/>
          <w:i w:val="0"/>
          <w:color w:val="000000" w:themeColor="text1"/>
          <w:szCs w:val="22"/>
        </w:rPr>
      </w:pPr>
      <w:r w:rsidRPr="007543F8">
        <w:rPr>
          <w:rFonts w:ascii="Times New Roman" w:hAnsi="Times New Roman" w:cs="Times New Roman"/>
          <w:b/>
          <w:i w:val="0"/>
          <w:color w:val="000000" w:themeColor="text1"/>
          <w:szCs w:val="22"/>
        </w:rPr>
        <w:t>Apie ką rašoma šiame lapelyje?</w:t>
      </w:r>
    </w:p>
    <w:p w:rsidR="00C95DDF" w:rsidRPr="007543F8" w:rsidRDefault="00C95DDF" w:rsidP="00C95DDF">
      <w:pPr>
        <w:numPr>
          <w:ilvl w:val="12"/>
          <w:numId w:val="0"/>
        </w:numPr>
        <w:ind w:left="284" w:right="-2"/>
        <w:rPr>
          <w:szCs w:val="22"/>
        </w:rPr>
      </w:pPr>
    </w:p>
    <w:p w:rsidR="00C95DDF" w:rsidRPr="007543F8" w:rsidRDefault="00C95DDF" w:rsidP="00C95DDF">
      <w:pPr>
        <w:numPr>
          <w:ilvl w:val="12"/>
          <w:numId w:val="0"/>
        </w:numPr>
        <w:ind w:left="284" w:right="-2"/>
        <w:rPr>
          <w:szCs w:val="22"/>
        </w:rPr>
      </w:pPr>
      <w:r w:rsidRPr="007543F8">
        <w:rPr>
          <w:szCs w:val="22"/>
        </w:rPr>
        <w:t>1.</w:t>
      </w:r>
      <w:r w:rsidRPr="007543F8">
        <w:rPr>
          <w:szCs w:val="22"/>
        </w:rPr>
        <w:tab/>
        <w:t xml:space="preserve">Kas yra OXYCORT ir kam jis vartojamas </w:t>
      </w:r>
    </w:p>
    <w:p w:rsidR="00C95DDF" w:rsidRPr="007543F8" w:rsidRDefault="00C95DDF" w:rsidP="00C95DDF">
      <w:pPr>
        <w:numPr>
          <w:ilvl w:val="12"/>
          <w:numId w:val="0"/>
        </w:numPr>
        <w:ind w:left="284" w:right="-2"/>
        <w:rPr>
          <w:szCs w:val="22"/>
        </w:rPr>
      </w:pPr>
      <w:r w:rsidRPr="007543F8">
        <w:rPr>
          <w:szCs w:val="22"/>
        </w:rPr>
        <w:t>2.</w:t>
      </w:r>
      <w:r w:rsidRPr="007543F8">
        <w:rPr>
          <w:szCs w:val="22"/>
        </w:rPr>
        <w:tab/>
      </w:r>
      <w:r w:rsidRPr="007543F8">
        <w:rPr>
          <w:noProof/>
          <w:szCs w:val="22"/>
        </w:rPr>
        <w:t xml:space="preserve">Kas žinotina prieš vartojant </w:t>
      </w:r>
      <w:r w:rsidRPr="007543F8">
        <w:rPr>
          <w:szCs w:val="22"/>
        </w:rPr>
        <w:t xml:space="preserve">OXYCORT  </w:t>
      </w:r>
    </w:p>
    <w:p w:rsidR="00C95DDF" w:rsidRPr="007543F8" w:rsidRDefault="00C95DDF" w:rsidP="00C95DDF">
      <w:pPr>
        <w:numPr>
          <w:ilvl w:val="12"/>
          <w:numId w:val="0"/>
        </w:numPr>
        <w:ind w:left="284" w:right="-2"/>
        <w:rPr>
          <w:szCs w:val="22"/>
        </w:rPr>
      </w:pPr>
      <w:r w:rsidRPr="007543F8">
        <w:rPr>
          <w:szCs w:val="22"/>
        </w:rPr>
        <w:t>3.</w:t>
      </w:r>
      <w:r w:rsidRPr="007543F8">
        <w:rPr>
          <w:szCs w:val="22"/>
        </w:rPr>
        <w:tab/>
      </w:r>
      <w:r w:rsidRPr="007543F8">
        <w:rPr>
          <w:noProof/>
          <w:szCs w:val="22"/>
        </w:rPr>
        <w:t xml:space="preserve">Kaip vartoti </w:t>
      </w:r>
      <w:r w:rsidRPr="007543F8">
        <w:rPr>
          <w:szCs w:val="22"/>
        </w:rPr>
        <w:t xml:space="preserve">OXYCORT </w:t>
      </w:r>
    </w:p>
    <w:p w:rsidR="00C95DDF" w:rsidRPr="007543F8" w:rsidRDefault="00C95DDF" w:rsidP="00C95DDF">
      <w:pPr>
        <w:numPr>
          <w:ilvl w:val="12"/>
          <w:numId w:val="0"/>
        </w:numPr>
        <w:ind w:left="284" w:right="-2"/>
        <w:rPr>
          <w:szCs w:val="22"/>
        </w:rPr>
      </w:pPr>
      <w:r w:rsidRPr="007543F8">
        <w:rPr>
          <w:szCs w:val="22"/>
        </w:rPr>
        <w:t>4.</w:t>
      </w:r>
      <w:r w:rsidRPr="007543F8">
        <w:rPr>
          <w:szCs w:val="22"/>
        </w:rPr>
        <w:tab/>
        <w:t xml:space="preserve">Galimas šalutinis poveikis </w:t>
      </w:r>
    </w:p>
    <w:p w:rsidR="00C95DDF" w:rsidRPr="007543F8" w:rsidRDefault="00C95DDF" w:rsidP="00C95DDF">
      <w:pPr>
        <w:numPr>
          <w:ilvl w:val="12"/>
          <w:numId w:val="0"/>
        </w:numPr>
        <w:tabs>
          <w:tab w:val="left" w:pos="709"/>
        </w:tabs>
        <w:ind w:left="284" w:right="-2"/>
        <w:rPr>
          <w:szCs w:val="22"/>
        </w:rPr>
      </w:pPr>
      <w:r w:rsidRPr="007543F8">
        <w:rPr>
          <w:szCs w:val="22"/>
        </w:rPr>
        <w:t>5.</w:t>
      </w:r>
      <w:r w:rsidRPr="007543F8">
        <w:rPr>
          <w:szCs w:val="22"/>
        </w:rPr>
        <w:tab/>
      </w:r>
      <w:r w:rsidRPr="007543F8">
        <w:rPr>
          <w:szCs w:val="22"/>
        </w:rPr>
        <w:tab/>
        <w:t xml:space="preserve">Kaip laikyti OXYCORT </w:t>
      </w:r>
    </w:p>
    <w:p w:rsidR="00C95DDF" w:rsidRPr="007543F8" w:rsidRDefault="00C95DDF" w:rsidP="00C95DDF">
      <w:pPr>
        <w:numPr>
          <w:ilvl w:val="12"/>
          <w:numId w:val="0"/>
        </w:numPr>
        <w:ind w:left="284" w:right="-2"/>
        <w:rPr>
          <w:szCs w:val="22"/>
        </w:rPr>
      </w:pPr>
      <w:r w:rsidRPr="007543F8">
        <w:rPr>
          <w:szCs w:val="22"/>
        </w:rPr>
        <w:t>6.</w:t>
      </w:r>
      <w:r w:rsidRPr="007543F8">
        <w:rPr>
          <w:szCs w:val="22"/>
        </w:rPr>
        <w:tab/>
      </w:r>
      <w:r w:rsidRPr="007543F8">
        <w:rPr>
          <w:noProof/>
          <w:szCs w:val="22"/>
        </w:rPr>
        <w:t>Pakuotės turinys ir kita informacija</w:t>
      </w:r>
    </w:p>
    <w:p w:rsidR="00C95DDF" w:rsidRPr="007543F8" w:rsidRDefault="00C95DDF" w:rsidP="00C95DDF">
      <w:pPr>
        <w:pStyle w:val="BTEMEASMCA"/>
      </w:pPr>
    </w:p>
    <w:p w:rsidR="00C95DDF" w:rsidRPr="007543F8" w:rsidRDefault="00C95DDF" w:rsidP="00C95DDF">
      <w:pPr>
        <w:pStyle w:val="BTEMEASMCA"/>
      </w:pPr>
    </w:p>
    <w:p w:rsidR="00C95DDF" w:rsidRPr="007543F8" w:rsidRDefault="00C95DDF" w:rsidP="00C95DDF">
      <w:pPr>
        <w:pStyle w:val="PI-1EMEASMCA"/>
      </w:pPr>
      <w:bookmarkStart w:id="0" w:name="_Toc129243139"/>
      <w:bookmarkStart w:id="1" w:name="_Toc129243264"/>
      <w:r w:rsidRPr="007543F8">
        <w:t>1.</w:t>
      </w:r>
      <w:r w:rsidRPr="007543F8">
        <w:tab/>
        <w:t>Kas yra OXYCORT ir kam jis vartojamas</w:t>
      </w:r>
      <w:r w:rsidRPr="007543F8" w:rsidDel="006E580C">
        <w:t xml:space="preserve"> </w:t>
      </w:r>
      <w:bookmarkEnd w:id="0"/>
      <w:bookmarkEnd w:id="1"/>
    </w:p>
    <w:p w:rsidR="00C95DDF" w:rsidRPr="007543F8" w:rsidRDefault="00C95DDF" w:rsidP="00C95DDF">
      <w:pPr>
        <w:pStyle w:val="BTEMEASMCA"/>
      </w:pPr>
      <w:r w:rsidRPr="007543F8">
        <w:tab/>
      </w:r>
    </w:p>
    <w:p w:rsidR="00C95DDF" w:rsidRPr="007543F8" w:rsidRDefault="00C95DDF" w:rsidP="00C95DDF">
      <w:pPr>
        <w:pStyle w:val="Pagrindinistekstas"/>
        <w:spacing w:after="0"/>
        <w:rPr>
          <w:bCs/>
          <w:iCs/>
          <w:snapToGrid w:val="0"/>
          <w:szCs w:val="22"/>
          <w:lang w:eastAsia="pl-PL"/>
        </w:rPr>
      </w:pPr>
      <w:r w:rsidRPr="007543F8">
        <w:rPr>
          <w:szCs w:val="22"/>
        </w:rPr>
        <w:t>OXYCORT</w:t>
      </w:r>
      <w:r w:rsidRPr="007543F8">
        <w:rPr>
          <w:bCs/>
          <w:iCs/>
          <w:snapToGrid w:val="0"/>
          <w:szCs w:val="22"/>
          <w:lang w:eastAsia="pl-PL"/>
        </w:rPr>
        <w:t xml:space="preserve"> sudėtyje yra dvi veikliosios medžiagos: </w:t>
      </w:r>
      <w:proofErr w:type="spellStart"/>
      <w:r w:rsidRPr="007543F8">
        <w:rPr>
          <w:bCs/>
          <w:iCs/>
          <w:snapToGrid w:val="0"/>
          <w:szCs w:val="22"/>
          <w:lang w:eastAsia="pl-PL"/>
        </w:rPr>
        <w:t>oksitetraciklinas</w:t>
      </w:r>
      <w:proofErr w:type="spellEnd"/>
      <w:r w:rsidRPr="007543F8">
        <w:rPr>
          <w:bCs/>
          <w:iCs/>
          <w:snapToGrid w:val="0"/>
          <w:szCs w:val="22"/>
          <w:lang w:eastAsia="pl-PL"/>
        </w:rPr>
        <w:t xml:space="preserve"> ir hidrokortizonas.</w:t>
      </w:r>
    </w:p>
    <w:p w:rsidR="00C95DDF" w:rsidRPr="007543F8" w:rsidRDefault="00C95DDF" w:rsidP="00C95DDF">
      <w:pPr>
        <w:pStyle w:val="Pagrindinistekstas"/>
        <w:numPr>
          <w:ilvl w:val="0"/>
          <w:numId w:val="2"/>
        </w:numPr>
        <w:spacing w:after="0"/>
        <w:rPr>
          <w:bCs/>
          <w:iCs/>
          <w:snapToGrid w:val="0"/>
          <w:szCs w:val="22"/>
          <w:lang w:eastAsia="pl-PL"/>
        </w:rPr>
      </w:pPr>
      <w:proofErr w:type="spellStart"/>
      <w:r w:rsidRPr="007543F8">
        <w:rPr>
          <w:b/>
          <w:bCs/>
          <w:iCs/>
          <w:snapToGrid w:val="0"/>
          <w:szCs w:val="22"/>
          <w:lang w:eastAsia="pl-PL"/>
        </w:rPr>
        <w:t>Oksitetraciklinas</w:t>
      </w:r>
      <w:proofErr w:type="spellEnd"/>
      <w:r w:rsidRPr="007543F8">
        <w:rPr>
          <w:bCs/>
          <w:iCs/>
          <w:snapToGrid w:val="0"/>
          <w:szCs w:val="22"/>
          <w:lang w:eastAsia="pl-PL"/>
        </w:rPr>
        <w:t xml:space="preserve"> yra antibiotikas, veikiantis įvairias ligas sukeliančias bakterijas. </w:t>
      </w:r>
    </w:p>
    <w:p w:rsidR="00C95DDF" w:rsidRPr="007543F8" w:rsidRDefault="00C95DDF" w:rsidP="00C95DDF">
      <w:pPr>
        <w:pStyle w:val="Pagrindinistekstas"/>
        <w:numPr>
          <w:ilvl w:val="0"/>
          <w:numId w:val="2"/>
        </w:numPr>
        <w:spacing w:after="0"/>
        <w:rPr>
          <w:bCs/>
          <w:iCs/>
          <w:snapToGrid w:val="0"/>
          <w:szCs w:val="22"/>
          <w:lang w:eastAsia="pl-PL"/>
        </w:rPr>
      </w:pPr>
      <w:r w:rsidRPr="007543F8">
        <w:rPr>
          <w:b/>
          <w:bCs/>
          <w:iCs/>
          <w:snapToGrid w:val="0"/>
          <w:szCs w:val="22"/>
          <w:lang w:eastAsia="pl-PL"/>
        </w:rPr>
        <w:t xml:space="preserve">Hidrokortizonas </w:t>
      </w:r>
      <w:r w:rsidRPr="007543F8">
        <w:rPr>
          <w:bCs/>
          <w:iCs/>
          <w:snapToGrid w:val="0"/>
          <w:szCs w:val="22"/>
          <w:lang w:eastAsia="pl-PL"/>
        </w:rPr>
        <w:t>yra kortikosteroidas. Jis  slopina uždegimą,  alerginę reakciją, mažina niežulį, audinių pabrinkimą bei kraujagyslių pralaidumą.</w:t>
      </w:r>
    </w:p>
    <w:p w:rsidR="00C95DDF" w:rsidRPr="007543F8" w:rsidRDefault="00C95DDF" w:rsidP="00C95DDF">
      <w:pPr>
        <w:pStyle w:val="Pagrindinistekstas"/>
        <w:spacing w:after="0"/>
        <w:rPr>
          <w:bCs/>
          <w:iCs/>
          <w:snapToGrid w:val="0"/>
          <w:szCs w:val="22"/>
          <w:lang w:eastAsia="pl-PL"/>
        </w:rPr>
      </w:pPr>
      <w:r w:rsidRPr="007543F8">
        <w:rPr>
          <w:szCs w:val="22"/>
        </w:rPr>
        <w:t>Pažeistose odos plotuose OXYCORT</w:t>
      </w:r>
      <w:r w:rsidRPr="007543F8">
        <w:rPr>
          <w:bCs/>
          <w:iCs/>
          <w:snapToGrid w:val="0"/>
          <w:szCs w:val="22"/>
          <w:lang w:eastAsia="pl-PL"/>
        </w:rPr>
        <w:t xml:space="preserve"> stabdo jam jautrių bakterijų dauginimąsi, slopina uždegimą, mažina paraudimą ir niežulį.</w:t>
      </w:r>
    </w:p>
    <w:p w:rsidR="00C95DDF" w:rsidRPr="007543F8" w:rsidRDefault="00C95DDF" w:rsidP="00C95DDF">
      <w:pPr>
        <w:ind w:left="567" w:hanging="567"/>
        <w:rPr>
          <w:snapToGrid w:val="0"/>
          <w:szCs w:val="22"/>
          <w:lang w:eastAsia="pl-PL"/>
        </w:rPr>
      </w:pPr>
    </w:p>
    <w:p w:rsidR="00C95DDF" w:rsidRPr="007543F8" w:rsidRDefault="00C95DDF" w:rsidP="00C95DDF">
      <w:pPr>
        <w:pStyle w:val="BTEMEASMCA"/>
      </w:pPr>
      <w:r w:rsidRPr="007543F8">
        <w:t>OXYCORT vartojamas trumpalaikiam neišplitusios odos ligos, kurią lydi bakterinė infekcija, gydymui, kai silpno kortikosteroido poveikio pakanka.</w:t>
      </w:r>
    </w:p>
    <w:p w:rsidR="00C95DDF" w:rsidRPr="007543F8" w:rsidRDefault="00C95DDF" w:rsidP="00C95DDF">
      <w:pPr>
        <w:pStyle w:val="BTEMEASMCA"/>
      </w:pPr>
    </w:p>
    <w:p w:rsidR="00C95DDF" w:rsidRPr="007543F8" w:rsidRDefault="00C95DDF" w:rsidP="00C95DDF">
      <w:pPr>
        <w:pStyle w:val="BTEMEASMCA"/>
      </w:pPr>
    </w:p>
    <w:p w:rsidR="00C95DDF" w:rsidRPr="007543F8" w:rsidRDefault="00C95DDF" w:rsidP="00C95DDF">
      <w:pPr>
        <w:pStyle w:val="PI-1EMEASMCA"/>
      </w:pPr>
      <w:bookmarkStart w:id="2" w:name="_Toc129243140"/>
      <w:bookmarkStart w:id="3" w:name="_Toc129243265"/>
      <w:r w:rsidRPr="007543F8">
        <w:t>2.</w:t>
      </w:r>
      <w:r w:rsidRPr="007543F8">
        <w:tab/>
        <w:t xml:space="preserve">Kas žinotina prieš vartojant </w:t>
      </w:r>
      <w:bookmarkEnd w:id="2"/>
      <w:bookmarkEnd w:id="3"/>
      <w:r w:rsidRPr="007543F8">
        <w:t>OXYCORT</w:t>
      </w:r>
    </w:p>
    <w:p w:rsidR="00C95DDF" w:rsidRPr="007543F8" w:rsidRDefault="00C95DDF" w:rsidP="00C95DDF">
      <w:pPr>
        <w:pStyle w:val="BTEMEASMCA"/>
      </w:pPr>
    </w:p>
    <w:p w:rsidR="00C95DDF" w:rsidRPr="007543F8" w:rsidRDefault="00C95DDF" w:rsidP="00C95DDF">
      <w:pPr>
        <w:pStyle w:val="PI-3EMEASMCA"/>
      </w:pPr>
      <w:r w:rsidRPr="007543F8">
        <w:t>OXYCORT vartoti negalima, jeigu:</w:t>
      </w:r>
    </w:p>
    <w:p w:rsidR="00C95DDF" w:rsidRPr="007543F8" w:rsidRDefault="00C95DDF" w:rsidP="00C95DDF">
      <w:pPr>
        <w:pStyle w:val="BT-EMEASMCA"/>
        <w:ind w:hanging="720"/>
        <w:rPr>
          <w:szCs w:val="22"/>
        </w:rPr>
      </w:pPr>
      <w:r w:rsidRPr="007543F8">
        <w:rPr>
          <w:szCs w:val="22"/>
        </w:rPr>
        <w:t xml:space="preserve">yra alergija </w:t>
      </w:r>
      <w:proofErr w:type="spellStart"/>
      <w:r w:rsidRPr="007543F8">
        <w:rPr>
          <w:szCs w:val="22"/>
        </w:rPr>
        <w:t>oksitetraciklinui</w:t>
      </w:r>
      <w:proofErr w:type="spellEnd"/>
      <w:r w:rsidRPr="007543F8">
        <w:rPr>
          <w:szCs w:val="22"/>
        </w:rPr>
        <w:t>, hidrokortizonui arba bet kuriai pagalbinei šio vaisto medžiagai (jos išvardytos 6 skyriuje);</w:t>
      </w:r>
    </w:p>
    <w:p w:rsidR="00C95DDF" w:rsidRPr="007543F8" w:rsidRDefault="00C95DDF" w:rsidP="00C95DDF">
      <w:pPr>
        <w:pStyle w:val="BT-EMEASMCA"/>
        <w:rPr>
          <w:szCs w:val="22"/>
        </w:rPr>
      </w:pPr>
      <w:r w:rsidRPr="007543F8">
        <w:rPr>
          <w:szCs w:val="22"/>
        </w:rPr>
        <w:t>sergate virusų ar grybelių sukelta odos liga;</w:t>
      </w:r>
    </w:p>
    <w:p w:rsidR="00C95DDF" w:rsidRPr="007543F8" w:rsidRDefault="00C95DDF" w:rsidP="00C95DDF">
      <w:pPr>
        <w:pStyle w:val="BT-EMEASMCA"/>
        <w:rPr>
          <w:szCs w:val="22"/>
        </w:rPr>
      </w:pPr>
      <w:r w:rsidRPr="007543F8">
        <w:rPr>
          <w:szCs w:val="22"/>
        </w:rPr>
        <w:t>sergate odos tuberkulioze;</w:t>
      </w:r>
    </w:p>
    <w:p w:rsidR="00C95DDF" w:rsidRPr="007543F8" w:rsidRDefault="00C95DDF" w:rsidP="00C95DDF">
      <w:pPr>
        <w:pStyle w:val="BT-EMEASMCA"/>
        <w:rPr>
          <w:szCs w:val="22"/>
        </w:rPr>
      </w:pPr>
      <w:r w:rsidRPr="007543F8">
        <w:rPr>
          <w:szCs w:val="22"/>
        </w:rPr>
        <w:t>yra odos navikas arba priešvėžinė būklė (</w:t>
      </w:r>
      <w:proofErr w:type="spellStart"/>
      <w:r w:rsidRPr="007543F8">
        <w:rPr>
          <w:szCs w:val="22"/>
        </w:rPr>
        <w:t>t.y</w:t>
      </w:r>
      <w:proofErr w:type="spellEnd"/>
      <w:r w:rsidRPr="007543F8">
        <w:rPr>
          <w:szCs w:val="22"/>
        </w:rPr>
        <w:t>., būklė, kuri gali išsivystyti į vėžį);</w:t>
      </w:r>
    </w:p>
    <w:p w:rsidR="00C95DDF" w:rsidRPr="007543F8" w:rsidRDefault="00C95DDF" w:rsidP="00C95DDF">
      <w:pPr>
        <w:pStyle w:val="BT-EMEASMCA"/>
        <w:rPr>
          <w:szCs w:val="22"/>
        </w:rPr>
      </w:pPr>
      <w:r w:rsidRPr="007543F8">
        <w:rPr>
          <w:szCs w:val="22"/>
        </w:rPr>
        <w:t>sergate ūmine pūline odos liga.</w:t>
      </w:r>
    </w:p>
    <w:p w:rsidR="00C95DDF" w:rsidRPr="007543F8" w:rsidRDefault="00C95DDF" w:rsidP="00C95DDF">
      <w:pPr>
        <w:pStyle w:val="BTEMEASMCA"/>
      </w:pPr>
    </w:p>
    <w:p w:rsidR="00C95DDF" w:rsidRPr="007543F8" w:rsidRDefault="00C95DDF" w:rsidP="00C95DDF">
      <w:pPr>
        <w:pStyle w:val="PI-3EMEASMCA"/>
      </w:pPr>
      <w:r w:rsidRPr="007543F8">
        <w:t>Įspėjimai ir atsargumo priemonės</w:t>
      </w:r>
    </w:p>
    <w:p w:rsidR="00C95DDF" w:rsidRPr="007543F8" w:rsidRDefault="00C95DDF" w:rsidP="00C95DDF">
      <w:pPr>
        <w:pStyle w:val="PI-3EMEASMCA"/>
        <w:spacing w:line="240" w:lineRule="auto"/>
        <w:rPr>
          <w:b w:val="0"/>
        </w:rPr>
      </w:pPr>
      <w:r w:rsidRPr="007543F8">
        <w:rPr>
          <w:b w:val="0"/>
        </w:rPr>
        <w:t xml:space="preserve">Pasitarkite su gydytoju arba vaistininku, prieš pradėdami vartoti OXYCORT. </w:t>
      </w:r>
    </w:p>
    <w:p w:rsidR="00C95DDF" w:rsidRPr="007543F8" w:rsidRDefault="00C95DDF" w:rsidP="00C95DDF">
      <w:pPr>
        <w:pStyle w:val="PI-3EMEASMCA"/>
      </w:pPr>
    </w:p>
    <w:p w:rsidR="00C95DDF" w:rsidRPr="007543F8" w:rsidRDefault="00C95DDF" w:rsidP="00C95DDF">
      <w:pPr>
        <w:pStyle w:val="BT-EMEASMCA"/>
        <w:rPr>
          <w:szCs w:val="22"/>
        </w:rPr>
      </w:pPr>
      <w:r w:rsidRPr="007543F8">
        <w:rPr>
          <w:szCs w:val="22"/>
        </w:rPr>
        <w:t>Vaistas yra skirtas tik vartojimui ant odos.</w:t>
      </w:r>
    </w:p>
    <w:p w:rsidR="00C95DDF" w:rsidRPr="007543F8" w:rsidRDefault="00C95DDF" w:rsidP="00C95DDF">
      <w:pPr>
        <w:pStyle w:val="BT-EMEASMCA"/>
        <w:rPr>
          <w:szCs w:val="22"/>
        </w:rPr>
      </w:pPr>
      <w:r w:rsidRPr="007543F8">
        <w:rPr>
          <w:szCs w:val="22"/>
        </w:rPr>
        <w:t>Saugokitės, kad vaisto nepatektų ant gleivinės.</w:t>
      </w:r>
    </w:p>
    <w:p w:rsidR="00C95DDF" w:rsidRPr="007543F8" w:rsidRDefault="00C95DDF" w:rsidP="00C95DDF">
      <w:pPr>
        <w:pStyle w:val="BT-EMEASMCA"/>
        <w:rPr>
          <w:szCs w:val="22"/>
        </w:rPr>
      </w:pPr>
      <w:r w:rsidRPr="007543F8">
        <w:rPr>
          <w:szCs w:val="22"/>
        </w:rPr>
        <w:t>Saugokitės, kad vaisto nepatektų į akis. Jeigu vaisto pateko į akis, jas reikia kruopščiai nuplauti vėsiu vandeniu.</w:t>
      </w:r>
    </w:p>
    <w:p w:rsidR="00C95DDF" w:rsidRPr="007543F8" w:rsidRDefault="00C95DDF" w:rsidP="00C95DDF">
      <w:pPr>
        <w:pStyle w:val="BT-EMEASMCA"/>
        <w:rPr>
          <w:szCs w:val="22"/>
        </w:rPr>
      </w:pPr>
      <w:r w:rsidRPr="007543F8">
        <w:rPr>
          <w:szCs w:val="22"/>
        </w:rPr>
        <w:lastRenderedPageBreak/>
        <w:t>Neįkvėpkite išpurkšto rūko.</w:t>
      </w:r>
    </w:p>
    <w:p w:rsidR="00C95DDF" w:rsidRPr="007543F8" w:rsidRDefault="00C95DDF" w:rsidP="00C95DDF">
      <w:pPr>
        <w:pStyle w:val="BT-EMEASMCA"/>
        <w:rPr>
          <w:szCs w:val="22"/>
        </w:rPr>
      </w:pPr>
      <w:r w:rsidRPr="007543F8">
        <w:rPr>
          <w:bCs/>
          <w:iCs/>
          <w:szCs w:val="22"/>
        </w:rPr>
        <w:t>Jei atsiranda gydomo odos ploto dirginimas, apie tai pasakykite gydytojui. Jis  nuspręs, ar nereikia nutraukti gydymo.</w:t>
      </w:r>
    </w:p>
    <w:p w:rsidR="00C95DDF" w:rsidRPr="007543F8" w:rsidRDefault="00C95DDF" w:rsidP="00C95DDF">
      <w:pPr>
        <w:pStyle w:val="BT-EMEASMCA"/>
        <w:rPr>
          <w:szCs w:val="22"/>
        </w:rPr>
      </w:pPr>
      <w:r w:rsidRPr="007543F8">
        <w:rPr>
          <w:bCs/>
          <w:iCs/>
          <w:szCs w:val="22"/>
        </w:rPr>
        <w:t xml:space="preserve">Gydomo odos ploto negalima aprišti ar uždengti sandarinamuoju tvarsčiu. Naudojant tvarstį, didesnis veikliųjų medžiagų kiekis gali patekti per odą į kraują per odą į kraują, todėl gali pasireikšti visą organizmą veikiantis šalutinis poveikis. </w:t>
      </w:r>
    </w:p>
    <w:p w:rsidR="00C95DDF" w:rsidRPr="007543F8" w:rsidRDefault="00C95DDF" w:rsidP="00C95DDF">
      <w:pPr>
        <w:pStyle w:val="BT-EMEASMCA"/>
        <w:rPr>
          <w:szCs w:val="22"/>
        </w:rPr>
      </w:pPr>
      <w:r w:rsidRPr="007543F8">
        <w:rPr>
          <w:bCs/>
          <w:iCs/>
          <w:szCs w:val="22"/>
        </w:rPr>
        <w:t xml:space="preserve">Kol gydotės šiuo vaistu, venkite kontakto su žmonėmis, kurie serga užkrečiamosiomis virusinėmis ligomis (pvz., vėjaraupiais, tymais). Kadangi hidrokortizonas gali patekti per odą į kraują, jis gali </w:t>
      </w:r>
      <w:proofErr w:type="spellStart"/>
      <w:r w:rsidRPr="007543F8">
        <w:rPr>
          <w:bCs/>
          <w:iCs/>
          <w:szCs w:val="22"/>
        </w:rPr>
        <w:t>susilpninti</w:t>
      </w:r>
      <w:proofErr w:type="spellEnd"/>
      <w:r w:rsidRPr="007543F8">
        <w:rPr>
          <w:bCs/>
          <w:iCs/>
          <w:szCs w:val="22"/>
        </w:rPr>
        <w:t xml:space="preserve"> Jūsų imuninę sistemą ir padidinti virusinės infekcijos riziką.</w:t>
      </w:r>
    </w:p>
    <w:p w:rsidR="00C95DDF" w:rsidRPr="007543F8" w:rsidRDefault="00C95DDF" w:rsidP="00C95DDF">
      <w:pPr>
        <w:pStyle w:val="BT-EMEASMCA"/>
        <w:rPr>
          <w:szCs w:val="22"/>
        </w:rPr>
      </w:pPr>
      <w:r w:rsidRPr="007543F8">
        <w:rPr>
          <w:szCs w:val="22"/>
        </w:rPr>
        <w:t>Jeigu vaisto vartojama ilgiau arba jo purškiama ant didelio odos ploto, veikliosios medžiagos gali patekti į kraują ir sukelti sisteminį (viso organizmo) poveikį. Sisteminis hidrokortizono poveikis gali būti keleto endokrininių liaukų (</w:t>
      </w:r>
      <w:proofErr w:type="spellStart"/>
      <w:r w:rsidRPr="007543F8">
        <w:rPr>
          <w:szCs w:val="22"/>
        </w:rPr>
        <w:t>t.y</w:t>
      </w:r>
      <w:proofErr w:type="spellEnd"/>
      <w:r w:rsidRPr="007543F8">
        <w:rPr>
          <w:szCs w:val="22"/>
        </w:rPr>
        <w:t xml:space="preserve">., </w:t>
      </w:r>
      <w:proofErr w:type="spellStart"/>
      <w:r w:rsidRPr="007543F8">
        <w:rPr>
          <w:szCs w:val="22"/>
        </w:rPr>
        <w:t>pagumburio</w:t>
      </w:r>
      <w:proofErr w:type="spellEnd"/>
      <w:r w:rsidRPr="007543F8">
        <w:rPr>
          <w:szCs w:val="22"/>
        </w:rPr>
        <w:t xml:space="preserve">, </w:t>
      </w:r>
      <w:proofErr w:type="spellStart"/>
      <w:r w:rsidRPr="007543F8">
        <w:rPr>
          <w:szCs w:val="22"/>
        </w:rPr>
        <w:t>hipofizės</w:t>
      </w:r>
      <w:proofErr w:type="spellEnd"/>
      <w:r w:rsidRPr="007543F8">
        <w:rPr>
          <w:szCs w:val="22"/>
        </w:rPr>
        <w:t xml:space="preserve"> ir antinksčių) slopinimas, dėl to gali atsirasti sutrikimas, vadinamas </w:t>
      </w:r>
      <w:proofErr w:type="spellStart"/>
      <w:r w:rsidRPr="007543F8">
        <w:rPr>
          <w:szCs w:val="22"/>
        </w:rPr>
        <w:t>Kušingo</w:t>
      </w:r>
      <w:proofErr w:type="spellEnd"/>
      <w:r w:rsidRPr="007543F8">
        <w:rPr>
          <w:szCs w:val="22"/>
        </w:rPr>
        <w:t xml:space="preserve"> sindromu (šio sutrikimo simptomai yra raudonas, putlus ir apvalus veidas (vadinamasis „mėnulio“ veidas),  svorio prieaugis bei cukraus kiekio pokyčiai kraujyje ir šlapime). Jeigu Jums pasireiškė bet kokių sisteminio poveikio simptomų, kreipkitės į gydytoją. Gali prireikti nutraukti gydymą OXYCORT ir atlikti tam tikrus laboratorinius tyrimus.</w:t>
      </w:r>
    </w:p>
    <w:p w:rsidR="00C95DDF" w:rsidRPr="007543F8" w:rsidRDefault="00C95DDF" w:rsidP="00C95DDF">
      <w:pPr>
        <w:pStyle w:val="BT-EMEASMCA"/>
        <w:rPr>
          <w:szCs w:val="22"/>
        </w:rPr>
      </w:pPr>
      <w:r w:rsidRPr="007543F8">
        <w:rPr>
          <w:szCs w:val="22"/>
        </w:rPr>
        <w:t>Venkite tiesioginių saulės spindulių bei kitų ultravioletinių spindulių šaltinių (pvz., soliariumo), kadangi gali padidėti Jūsų jautrumas šviesai.</w:t>
      </w:r>
    </w:p>
    <w:p w:rsidR="00C95DDF" w:rsidRPr="007543F8" w:rsidRDefault="00C95DDF" w:rsidP="00C95DDF">
      <w:pPr>
        <w:pStyle w:val="BT-EMEASMCA"/>
        <w:rPr>
          <w:szCs w:val="22"/>
        </w:rPr>
      </w:pPr>
      <w:r w:rsidRPr="007543F8">
        <w:rPr>
          <w:bCs/>
          <w:iCs/>
          <w:szCs w:val="22"/>
        </w:rPr>
        <w:t>Ilgalaikis šio vaisto, kaip ir kitų antibiotikų, vartojimas gali skatinti antibiotikams atsparių bakterijų dauginimąsi arba alergijos vaistui atsiradimą.</w:t>
      </w:r>
      <w:r w:rsidRPr="007543F8">
        <w:rPr>
          <w:szCs w:val="22"/>
        </w:rPr>
        <w:t xml:space="preserve"> </w:t>
      </w:r>
      <w:r w:rsidRPr="007543F8">
        <w:rPr>
          <w:bCs/>
          <w:iCs/>
          <w:szCs w:val="22"/>
        </w:rPr>
        <w:t>Jeigu Jūsų odos liga pablogėjo arba pastebėjote bet kokių naujų simptomų, kreipkitės į gydytoją. Jums gali prireikti gydymo kitais vaistais.</w:t>
      </w:r>
    </w:p>
    <w:p w:rsidR="00C95DDF" w:rsidRPr="007543F8" w:rsidRDefault="00C95DDF" w:rsidP="00C95DDF">
      <w:pPr>
        <w:pStyle w:val="BT-EMEASMCA"/>
        <w:numPr>
          <w:ilvl w:val="0"/>
          <w:numId w:val="0"/>
        </w:numPr>
        <w:tabs>
          <w:tab w:val="left" w:pos="1296"/>
        </w:tabs>
        <w:rPr>
          <w:bCs/>
          <w:iCs/>
          <w:szCs w:val="22"/>
        </w:rPr>
      </w:pPr>
    </w:p>
    <w:p w:rsidR="00C95DDF" w:rsidRPr="007543F8" w:rsidRDefault="00C95DDF" w:rsidP="00C95DDF">
      <w:pPr>
        <w:pStyle w:val="BT-EMEASMCA"/>
        <w:numPr>
          <w:ilvl w:val="0"/>
          <w:numId w:val="0"/>
        </w:numPr>
        <w:tabs>
          <w:tab w:val="left" w:pos="1296"/>
        </w:tabs>
        <w:rPr>
          <w:b/>
          <w:bCs/>
          <w:iCs/>
          <w:szCs w:val="22"/>
        </w:rPr>
      </w:pPr>
      <w:r w:rsidRPr="007543F8">
        <w:rPr>
          <w:b/>
          <w:bCs/>
          <w:iCs/>
          <w:szCs w:val="22"/>
        </w:rPr>
        <w:t>Vaikams</w:t>
      </w:r>
    </w:p>
    <w:p w:rsidR="00C95DDF" w:rsidRPr="007543F8" w:rsidRDefault="00C95DDF" w:rsidP="00C95DDF">
      <w:pPr>
        <w:pStyle w:val="BT-EMEASMCA"/>
        <w:numPr>
          <w:ilvl w:val="0"/>
          <w:numId w:val="0"/>
        </w:numPr>
        <w:rPr>
          <w:szCs w:val="22"/>
        </w:rPr>
      </w:pPr>
      <w:r w:rsidRPr="007543F8">
        <w:rPr>
          <w:bCs/>
          <w:iCs/>
          <w:szCs w:val="22"/>
        </w:rPr>
        <w:t xml:space="preserve">Jeigu OXYCORT skiriamas vaikui, reikia laikytis ypatingo atsargumo. Sisteminio šalutinio poveikio rizika vaikams </w:t>
      </w:r>
      <w:r w:rsidRPr="007543F8">
        <w:rPr>
          <w:szCs w:val="22"/>
        </w:rPr>
        <w:t>yra didesnė negu suaugusiems žmonėms. Be to, užsitęsęs kortikosteroidų vartojimas gali sutrikdyti vaiko augimą bei raidą (žr. skyrelį „Kitas šalutinis poveikis, kuris gali pasireikšti vaikams“).</w:t>
      </w:r>
    </w:p>
    <w:p w:rsidR="00C95DDF" w:rsidRPr="007543F8" w:rsidRDefault="00C95DDF" w:rsidP="00C95DDF">
      <w:pPr>
        <w:pStyle w:val="BTEMEASMCA"/>
      </w:pPr>
    </w:p>
    <w:p w:rsidR="00C95DDF" w:rsidRPr="007543F8" w:rsidRDefault="00C95DDF" w:rsidP="00C95DDF">
      <w:pPr>
        <w:pStyle w:val="PI-3EMEASMCA"/>
      </w:pPr>
      <w:r w:rsidRPr="007543F8">
        <w:t>Kiti vaistai ir OXYCORT</w:t>
      </w:r>
    </w:p>
    <w:p w:rsidR="00C95DDF" w:rsidRPr="007543F8" w:rsidRDefault="00C95DDF" w:rsidP="00C95DDF">
      <w:pPr>
        <w:pStyle w:val="Pagrindinistekstas"/>
        <w:spacing w:after="0"/>
        <w:rPr>
          <w:noProof/>
          <w:szCs w:val="22"/>
        </w:rPr>
      </w:pPr>
      <w:r w:rsidRPr="007543F8">
        <w:rPr>
          <w:noProof/>
          <w:szCs w:val="22"/>
        </w:rPr>
        <w:t>Jeigu vartojate ar neseniai vartojote kitų vaistų arba dėl to nesate tikri, apie tai pasakykite gydytojui arba vaistininkui.</w:t>
      </w:r>
    </w:p>
    <w:p w:rsidR="00C95DDF" w:rsidRPr="007543F8" w:rsidRDefault="00C95DDF" w:rsidP="00C95DDF">
      <w:pPr>
        <w:pStyle w:val="Pagrindinistekstas"/>
        <w:spacing w:after="0"/>
        <w:rPr>
          <w:noProof/>
          <w:szCs w:val="22"/>
        </w:rPr>
      </w:pPr>
    </w:p>
    <w:p w:rsidR="00C95DDF" w:rsidRPr="007543F8" w:rsidRDefault="00C95DDF" w:rsidP="00C95DDF">
      <w:pPr>
        <w:pStyle w:val="Pagrindinistekstas"/>
        <w:spacing w:after="0"/>
        <w:rPr>
          <w:szCs w:val="22"/>
        </w:rPr>
      </w:pPr>
      <w:r w:rsidRPr="007543F8">
        <w:rPr>
          <w:szCs w:val="22"/>
        </w:rPr>
        <w:t xml:space="preserve">Vartojant OXYCORT taip, kaip rekomenduojama, jis neturėtų daryti įtakos kitų vaistų veikimui. </w:t>
      </w:r>
    </w:p>
    <w:p w:rsidR="00C95DDF" w:rsidRPr="007543F8" w:rsidRDefault="00C95DDF" w:rsidP="00C95DDF">
      <w:pPr>
        <w:pStyle w:val="Pagrindinistekstas"/>
        <w:spacing w:after="0"/>
        <w:rPr>
          <w:szCs w:val="22"/>
        </w:rPr>
      </w:pPr>
    </w:p>
    <w:p w:rsidR="00C95DDF" w:rsidRPr="007543F8" w:rsidRDefault="00C95DDF" w:rsidP="00C95DDF">
      <w:pPr>
        <w:pStyle w:val="Pagrindinistekstas"/>
        <w:spacing w:after="0"/>
        <w:rPr>
          <w:szCs w:val="22"/>
        </w:rPr>
      </w:pPr>
      <w:r w:rsidRPr="007543F8">
        <w:rPr>
          <w:szCs w:val="22"/>
        </w:rPr>
        <w:t>Nevartokite dviejų ar daugiau vietinio poveikio vaistų, kadangi tai gali pakeisti veikliųjų medžiagų koncentraciją gydomojoje vietoje arba sukelti odos paraudimą.</w:t>
      </w:r>
    </w:p>
    <w:p w:rsidR="00C95DDF" w:rsidRPr="007543F8" w:rsidRDefault="00C95DDF" w:rsidP="00C95DDF">
      <w:pPr>
        <w:pStyle w:val="Pagrindinistekstas"/>
        <w:spacing w:after="0"/>
        <w:rPr>
          <w:szCs w:val="22"/>
        </w:rPr>
      </w:pPr>
    </w:p>
    <w:p w:rsidR="00C95DDF" w:rsidRPr="007543F8" w:rsidRDefault="00C95DDF" w:rsidP="00C95DDF">
      <w:pPr>
        <w:pStyle w:val="PI-3EMEASMCA"/>
      </w:pPr>
      <w:r w:rsidRPr="007543F8">
        <w:t>Nėštumas ir žindymo laikotarpis</w:t>
      </w:r>
    </w:p>
    <w:p w:rsidR="00C95DDF" w:rsidRPr="007543F8" w:rsidRDefault="00C95DDF" w:rsidP="00C95DDF">
      <w:pPr>
        <w:pStyle w:val="BTEMEASMCA"/>
      </w:pPr>
      <w:r w:rsidRPr="007543F8">
        <w:t>Jeigu esate nėščia, žindote kūdikį, manote, kad galbūt esate nėščia arba planuojate pastoti, tai prieš vartodama šį vaistą pasitarkite su gydytoju arba vaistininku.</w:t>
      </w:r>
    </w:p>
    <w:p w:rsidR="00C95DDF" w:rsidRPr="007543F8" w:rsidRDefault="00C95DDF" w:rsidP="00C95DDF">
      <w:pPr>
        <w:pStyle w:val="BTEMEASMCA"/>
      </w:pPr>
    </w:p>
    <w:p w:rsidR="00C95DDF" w:rsidRPr="007543F8" w:rsidRDefault="00C95DDF" w:rsidP="00C95DDF">
      <w:pPr>
        <w:pStyle w:val="PI-3EMEASMCA"/>
      </w:pPr>
      <w:r w:rsidRPr="007543F8">
        <w:t>Vairavimas ir mechanizmų valdymas</w:t>
      </w:r>
    </w:p>
    <w:p w:rsidR="00C95DDF" w:rsidRPr="007543F8" w:rsidRDefault="00C95DDF" w:rsidP="00C95DDF">
      <w:pPr>
        <w:pStyle w:val="BTEMEASMCA"/>
      </w:pPr>
      <w:r w:rsidRPr="007543F8">
        <w:t>Nėra duomenų apie vaisto įtaką gebėjimui vairuoti ir valdyti mechanizmus.</w:t>
      </w:r>
    </w:p>
    <w:p w:rsidR="00C95DDF" w:rsidRPr="007543F8" w:rsidRDefault="00C95DDF" w:rsidP="00C95DDF">
      <w:pPr>
        <w:pStyle w:val="BTEMEASMCA"/>
      </w:pPr>
    </w:p>
    <w:p w:rsidR="00C95DDF" w:rsidRPr="007543F8" w:rsidRDefault="00C95DDF" w:rsidP="00C95DDF">
      <w:pPr>
        <w:pStyle w:val="BTEMEASMCA"/>
      </w:pPr>
    </w:p>
    <w:p w:rsidR="00C95DDF" w:rsidRPr="007543F8" w:rsidRDefault="00C95DDF" w:rsidP="00C95DDF">
      <w:pPr>
        <w:pStyle w:val="PI-1EMEASMCA"/>
      </w:pPr>
      <w:bookmarkStart w:id="4" w:name="_Toc129243141"/>
      <w:bookmarkStart w:id="5" w:name="_Toc129243266"/>
      <w:r w:rsidRPr="007543F8">
        <w:t>3.</w:t>
      </w:r>
      <w:r w:rsidRPr="007543F8">
        <w:tab/>
        <w:t xml:space="preserve">Kaip vartoti </w:t>
      </w:r>
      <w:bookmarkEnd w:id="4"/>
      <w:bookmarkEnd w:id="5"/>
      <w:r w:rsidRPr="007543F8">
        <w:rPr>
          <w:snapToGrid w:val="0"/>
          <w:lang w:eastAsia="pl-PL"/>
        </w:rPr>
        <w:t>OXYCORT</w:t>
      </w:r>
    </w:p>
    <w:p w:rsidR="00C95DDF" w:rsidRPr="007543F8" w:rsidRDefault="00C95DDF" w:rsidP="00C95DDF">
      <w:pPr>
        <w:pStyle w:val="BTEMEASMCA"/>
      </w:pPr>
    </w:p>
    <w:p w:rsidR="00C95DDF" w:rsidRPr="007543F8" w:rsidRDefault="00C95DDF" w:rsidP="00C95DDF">
      <w:pPr>
        <w:rPr>
          <w:noProof/>
          <w:szCs w:val="22"/>
        </w:rPr>
      </w:pPr>
      <w:r w:rsidRPr="007543F8">
        <w:rPr>
          <w:noProof/>
          <w:szCs w:val="22"/>
        </w:rPr>
        <w:t>Visada vartokite šį vaistą tiksliai kaip nurodė gydytojas.</w:t>
      </w:r>
      <w:r w:rsidRPr="007543F8">
        <w:rPr>
          <w:szCs w:val="22"/>
        </w:rPr>
        <w:t xml:space="preserve"> </w:t>
      </w:r>
      <w:r w:rsidRPr="007543F8">
        <w:rPr>
          <w:noProof/>
          <w:szCs w:val="22"/>
        </w:rPr>
        <w:t>Jeigu abejojate, kreipkitės į  gydytoją arba vaistininką.</w:t>
      </w:r>
    </w:p>
    <w:p w:rsidR="00C95DDF" w:rsidRPr="007543F8" w:rsidRDefault="00C95DDF" w:rsidP="00C95DDF">
      <w:pPr>
        <w:rPr>
          <w:noProof/>
          <w:szCs w:val="22"/>
        </w:rPr>
      </w:pPr>
    </w:p>
    <w:p w:rsidR="00C95DDF" w:rsidRPr="007543F8" w:rsidRDefault="00C95DDF" w:rsidP="00C95DDF">
      <w:pPr>
        <w:pStyle w:val="Sraopastraipa"/>
        <w:numPr>
          <w:ilvl w:val="0"/>
          <w:numId w:val="3"/>
        </w:numPr>
        <w:suppressAutoHyphens/>
        <w:ind w:left="567" w:hanging="567"/>
        <w:rPr>
          <w:sz w:val="22"/>
          <w:szCs w:val="22"/>
        </w:rPr>
      </w:pPr>
      <w:r w:rsidRPr="007543F8">
        <w:rPr>
          <w:sz w:val="22"/>
          <w:szCs w:val="22"/>
          <w:lang w:val="lt-LT"/>
        </w:rPr>
        <w:t xml:space="preserve">Prieš vartojant vaisto, slėginę </w:t>
      </w:r>
      <w:proofErr w:type="spellStart"/>
      <w:r w:rsidRPr="007543F8">
        <w:rPr>
          <w:sz w:val="22"/>
          <w:szCs w:val="22"/>
          <w:lang w:val="lt-LT"/>
        </w:rPr>
        <w:t>talpyklę</w:t>
      </w:r>
      <w:proofErr w:type="spellEnd"/>
      <w:r w:rsidRPr="007543F8">
        <w:rPr>
          <w:sz w:val="22"/>
          <w:szCs w:val="22"/>
          <w:lang w:val="lt-LT"/>
        </w:rPr>
        <w:t xml:space="preserve"> kelis kartus stipriai supurtykite.</w:t>
      </w:r>
    </w:p>
    <w:p w:rsidR="00C95DDF" w:rsidRPr="007543F8" w:rsidRDefault="00C95DDF" w:rsidP="00C95DDF">
      <w:pPr>
        <w:pStyle w:val="Sraopastraipa"/>
        <w:numPr>
          <w:ilvl w:val="0"/>
          <w:numId w:val="3"/>
        </w:numPr>
        <w:suppressAutoHyphens/>
        <w:ind w:left="567" w:hanging="567"/>
        <w:rPr>
          <w:sz w:val="22"/>
          <w:szCs w:val="22"/>
        </w:rPr>
      </w:pPr>
      <w:r w:rsidRPr="007543F8">
        <w:rPr>
          <w:sz w:val="22"/>
          <w:szCs w:val="22"/>
          <w:lang w:val="lt-LT"/>
        </w:rPr>
        <w:t xml:space="preserve">Purkšdami slėginę </w:t>
      </w:r>
      <w:proofErr w:type="spellStart"/>
      <w:r w:rsidRPr="007543F8">
        <w:rPr>
          <w:sz w:val="22"/>
          <w:szCs w:val="22"/>
          <w:lang w:val="lt-LT"/>
        </w:rPr>
        <w:t>talpyklę</w:t>
      </w:r>
      <w:proofErr w:type="spellEnd"/>
      <w:r w:rsidRPr="007543F8">
        <w:rPr>
          <w:sz w:val="22"/>
          <w:szCs w:val="22"/>
          <w:lang w:val="lt-LT"/>
        </w:rPr>
        <w:t xml:space="preserve"> laikykite stačią.</w:t>
      </w:r>
    </w:p>
    <w:p w:rsidR="00C95DDF" w:rsidRPr="007543F8" w:rsidRDefault="00C95DDF" w:rsidP="00C95DDF">
      <w:pPr>
        <w:pStyle w:val="Sraopastraipa"/>
        <w:numPr>
          <w:ilvl w:val="0"/>
          <w:numId w:val="3"/>
        </w:numPr>
        <w:suppressAutoHyphens/>
        <w:ind w:left="567" w:hanging="567"/>
        <w:rPr>
          <w:bCs/>
          <w:iCs/>
          <w:sz w:val="22"/>
          <w:szCs w:val="22"/>
          <w:lang w:val="lt-LT"/>
        </w:rPr>
      </w:pPr>
      <w:r w:rsidRPr="007543F8">
        <w:rPr>
          <w:bCs/>
          <w:iCs/>
          <w:sz w:val="22"/>
          <w:szCs w:val="22"/>
          <w:lang w:val="lt-LT"/>
        </w:rPr>
        <w:t xml:space="preserve">Purkškite vaisto ant pažeisto odos ploto 1-3 sekundes, 15 – 20 cm atstumu. </w:t>
      </w:r>
    </w:p>
    <w:p w:rsidR="00C95DDF" w:rsidRPr="007543F8" w:rsidRDefault="00C95DDF" w:rsidP="00C95DDF">
      <w:pPr>
        <w:pStyle w:val="Sraopastraipa"/>
        <w:numPr>
          <w:ilvl w:val="0"/>
          <w:numId w:val="3"/>
        </w:numPr>
        <w:suppressAutoHyphens/>
        <w:ind w:left="567" w:hanging="567"/>
        <w:rPr>
          <w:bCs/>
          <w:iCs/>
          <w:sz w:val="22"/>
          <w:szCs w:val="22"/>
          <w:lang w:val="lt-LT"/>
        </w:rPr>
      </w:pPr>
      <w:r w:rsidRPr="007543F8">
        <w:rPr>
          <w:bCs/>
          <w:iCs/>
          <w:sz w:val="22"/>
          <w:szCs w:val="22"/>
          <w:lang w:val="lt-LT"/>
        </w:rPr>
        <w:t xml:space="preserve">Vartokite vaisto lygiais laiko tarpais 2 – 4 kartus per parą. </w:t>
      </w:r>
    </w:p>
    <w:p w:rsidR="00C95DDF" w:rsidRPr="007543F8" w:rsidRDefault="00C95DDF" w:rsidP="00C95DDF">
      <w:pPr>
        <w:rPr>
          <w:b/>
          <w:szCs w:val="22"/>
        </w:rPr>
      </w:pPr>
    </w:p>
    <w:p w:rsidR="00C95DDF" w:rsidRPr="007543F8" w:rsidRDefault="00C95DDF" w:rsidP="00C95DDF">
      <w:pPr>
        <w:rPr>
          <w:szCs w:val="22"/>
        </w:rPr>
      </w:pPr>
      <w:r w:rsidRPr="007543F8">
        <w:rPr>
          <w:b/>
          <w:szCs w:val="22"/>
        </w:rPr>
        <w:t>Įspėjimas!</w:t>
      </w:r>
      <w:r w:rsidRPr="007543F8">
        <w:rPr>
          <w:szCs w:val="22"/>
        </w:rPr>
        <w:t xml:space="preserve"> Saugokitės, kad purškalo nepatektų į akis. Saugokitės, kad neįkvėptumėte išpurkšto rūko.</w:t>
      </w:r>
    </w:p>
    <w:p w:rsidR="00C95DDF" w:rsidRPr="007543F8" w:rsidRDefault="00C95DDF" w:rsidP="00C95DDF">
      <w:pPr>
        <w:rPr>
          <w:szCs w:val="22"/>
        </w:rPr>
      </w:pPr>
      <w:r w:rsidRPr="007543F8">
        <w:rPr>
          <w:szCs w:val="22"/>
        </w:rPr>
        <w:lastRenderedPageBreak/>
        <w:t xml:space="preserve">Kiekvieną kartą pavartojus OXYCORT, kruopščiai nusiplaukite rankas. </w:t>
      </w:r>
    </w:p>
    <w:p w:rsidR="00C95DDF" w:rsidRPr="007543F8" w:rsidRDefault="00C95DDF" w:rsidP="00C95DDF">
      <w:pPr>
        <w:pStyle w:val="Pagrindinistekstas"/>
        <w:spacing w:after="0"/>
        <w:rPr>
          <w:b/>
          <w:szCs w:val="22"/>
        </w:rPr>
      </w:pPr>
    </w:p>
    <w:p w:rsidR="00C95DDF" w:rsidRPr="007543F8" w:rsidRDefault="00C95DDF" w:rsidP="00C95DDF">
      <w:pPr>
        <w:pStyle w:val="Pagrindinistekstas"/>
        <w:spacing w:after="0"/>
        <w:rPr>
          <w:i/>
          <w:szCs w:val="22"/>
        </w:rPr>
      </w:pPr>
      <w:r w:rsidRPr="007543F8">
        <w:rPr>
          <w:i/>
          <w:szCs w:val="22"/>
        </w:rPr>
        <w:t>Jei manote, kad vaistas veikai per silpnai ar per stipriai, pasitarkite su gydytoju.</w:t>
      </w:r>
    </w:p>
    <w:p w:rsidR="00C95DDF" w:rsidRPr="007543F8" w:rsidRDefault="00C95DDF" w:rsidP="00C95DDF">
      <w:pPr>
        <w:pStyle w:val="Pagrindinistekstas"/>
        <w:spacing w:after="0"/>
        <w:rPr>
          <w:szCs w:val="22"/>
        </w:rPr>
      </w:pPr>
    </w:p>
    <w:p w:rsidR="00C95DDF" w:rsidRPr="007543F8" w:rsidRDefault="00C95DDF" w:rsidP="00C95DDF">
      <w:pPr>
        <w:pStyle w:val="Pagrindinistekstas"/>
        <w:spacing w:after="0"/>
        <w:rPr>
          <w:b/>
          <w:szCs w:val="22"/>
        </w:rPr>
      </w:pPr>
      <w:r w:rsidRPr="007543F8">
        <w:rPr>
          <w:b/>
          <w:szCs w:val="22"/>
        </w:rPr>
        <w:t>Ką daryti pavartojus per didelę OXYCORT dozę?</w:t>
      </w:r>
    </w:p>
    <w:p w:rsidR="00C95DDF" w:rsidRPr="007543F8" w:rsidRDefault="00C95DDF" w:rsidP="00C95DDF">
      <w:pPr>
        <w:pStyle w:val="Pagrindinistekstas"/>
        <w:spacing w:after="0"/>
        <w:rPr>
          <w:b/>
          <w:szCs w:val="22"/>
        </w:rPr>
      </w:pPr>
    </w:p>
    <w:p w:rsidR="00C95DDF" w:rsidRPr="007543F8" w:rsidRDefault="00C95DDF" w:rsidP="00C95DDF">
      <w:pPr>
        <w:pStyle w:val="Pagrindinistekstas"/>
        <w:spacing w:after="0"/>
        <w:rPr>
          <w:szCs w:val="22"/>
        </w:rPr>
      </w:pPr>
      <w:r w:rsidRPr="007543F8">
        <w:rPr>
          <w:szCs w:val="22"/>
        </w:rPr>
        <w:t xml:space="preserve">Jeigu vaisto vartojama ant didelio odos ploto, didelėmis dozėmis, po sandarinamuoju tvarsčiu ar ant pažeistos odos, jo veikliosios medžiagos gali patekti į kraują ir sukelti hidrokortizonui arba </w:t>
      </w:r>
      <w:proofErr w:type="spellStart"/>
      <w:r w:rsidRPr="007543F8">
        <w:rPr>
          <w:szCs w:val="22"/>
        </w:rPr>
        <w:t>oksitetraciklinui</w:t>
      </w:r>
      <w:proofErr w:type="spellEnd"/>
      <w:r w:rsidRPr="007543F8">
        <w:rPr>
          <w:szCs w:val="22"/>
        </w:rPr>
        <w:t xml:space="preserve"> būdingą sisteminį (viso organizmo) poveikį (žr. skyrelį „Įspėjimai ir atsargumo priemonės“).</w:t>
      </w:r>
    </w:p>
    <w:p w:rsidR="00C95DDF" w:rsidRPr="007543F8" w:rsidRDefault="00C95DDF" w:rsidP="00C95DDF">
      <w:pPr>
        <w:pStyle w:val="Pagrindinistekstas"/>
        <w:spacing w:after="0"/>
        <w:rPr>
          <w:szCs w:val="22"/>
        </w:rPr>
      </w:pPr>
      <w:r w:rsidRPr="007543F8">
        <w:rPr>
          <w:szCs w:val="22"/>
        </w:rPr>
        <w:t>Jeigu yra lėtinis apsinuodijimas kortikosteroidu, gydymą šiuo vaistu rekomenduojama nutraukti laipsniškai.</w:t>
      </w:r>
    </w:p>
    <w:p w:rsidR="00C95DDF" w:rsidRPr="007543F8" w:rsidRDefault="00C95DDF" w:rsidP="00C95DDF">
      <w:pPr>
        <w:pStyle w:val="Pagrindinistekstas"/>
        <w:spacing w:after="0"/>
        <w:rPr>
          <w:i/>
          <w:szCs w:val="22"/>
        </w:rPr>
      </w:pPr>
    </w:p>
    <w:p w:rsidR="00C95DDF" w:rsidRPr="007543F8" w:rsidRDefault="00C95DDF" w:rsidP="00C95DDF">
      <w:pPr>
        <w:pStyle w:val="Pagrindinistekstas"/>
        <w:spacing w:after="0"/>
        <w:rPr>
          <w:szCs w:val="22"/>
        </w:rPr>
      </w:pPr>
      <w:r w:rsidRPr="007543F8">
        <w:rPr>
          <w:i/>
          <w:szCs w:val="22"/>
        </w:rPr>
        <w:t>Jeigu pavartojote didesnę negu rekomenduojama OXYCORT dozę, nedelsiant kreipkitės į gydytoją ar vaistininką</w:t>
      </w:r>
      <w:r w:rsidRPr="007543F8">
        <w:rPr>
          <w:szCs w:val="22"/>
        </w:rPr>
        <w:t>.</w:t>
      </w:r>
    </w:p>
    <w:p w:rsidR="00C95DDF" w:rsidRPr="007543F8" w:rsidRDefault="00C95DDF" w:rsidP="00C95DDF">
      <w:pPr>
        <w:pStyle w:val="Pagrindinistekstas"/>
        <w:spacing w:after="0"/>
        <w:rPr>
          <w:b/>
          <w:szCs w:val="22"/>
        </w:rPr>
      </w:pPr>
    </w:p>
    <w:p w:rsidR="00C95DDF" w:rsidRPr="007543F8" w:rsidRDefault="00C95DDF" w:rsidP="00C95DDF">
      <w:pPr>
        <w:pStyle w:val="PI-3EMEASMCA"/>
      </w:pPr>
      <w:r w:rsidRPr="007543F8">
        <w:t>Pamiršus pavartoti OXYCORT</w:t>
      </w:r>
    </w:p>
    <w:p w:rsidR="00C95DDF" w:rsidRPr="007543F8" w:rsidRDefault="00C95DDF" w:rsidP="00C95DDF">
      <w:pPr>
        <w:pStyle w:val="BTEMEASMCA"/>
      </w:pPr>
      <w:r w:rsidRPr="007543F8">
        <w:t>Jeigu pamiršote pavartoti vaisto įprastiniu laiku ir iki kitos dozės vartojimo yra pakankamai daug laiko, pavartokite praleistą dozę kai tik prisiminsite. Toliau vaisto vartokite kaip įprastai.</w:t>
      </w:r>
    </w:p>
    <w:p w:rsidR="00C95DDF" w:rsidRPr="007543F8" w:rsidRDefault="00C95DDF" w:rsidP="00C95DDF">
      <w:pPr>
        <w:pStyle w:val="BTEMEASMCA"/>
      </w:pPr>
      <w:r w:rsidRPr="007543F8">
        <w:t>Negalima vartoti dvigubos dozės norint kompensuoti praleistą dozę.</w:t>
      </w:r>
    </w:p>
    <w:p w:rsidR="00C95DDF" w:rsidRPr="007543F8" w:rsidRDefault="00C95DDF" w:rsidP="00C95DDF">
      <w:pPr>
        <w:pStyle w:val="BTEMEASMCA"/>
      </w:pPr>
    </w:p>
    <w:p w:rsidR="00C95DDF" w:rsidRPr="007543F8" w:rsidRDefault="00C95DDF" w:rsidP="00C95DDF">
      <w:pPr>
        <w:pStyle w:val="BTEMEASMCA"/>
      </w:pPr>
    </w:p>
    <w:p w:rsidR="00C95DDF" w:rsidRPr="007543F8" w:rsidRDefault="00C95DDF" w:rsidP="00C95DDF">
      <w:pPr>
        <w:pStyle w:val="PI-1EMEASMCA"/>
      </w:pPr>
      <w:bookmarkStart w:id="6" w:name="_Toc129243142"/>
      <w:bookmarkStart w:id="7" w:name="_Toc129243267"/>
      <w:r w:rsidRPr="007543F8">
        <w:t>4.</w:t>
      </w:r>
      <w:r w:rsidRPr="007543F8">
        <w:tab/>
        <w:t>Galimas šalutinis poveikis</w:t>
      </w:r>
      <w:bookmarkEnd w:id="6"/>
      <w:bookmarkEnd w:id="7"/>
    </w:p>
    <w:p w:rsidR="00C95DDF" w:rsidRPr="007543F8" w:rsidRDefault="00C95DDF" w:rsidP="00C95DDF">
      <w:pPr>
        <w:pStyle w:val="Pagrindinistekstas"/>
        <w:spacing w:after="0"/>
        <w:rPr>
          <w:szCs w:val="22"/>
        </w:rPr>
      </w:pPr>
    </w:p>
    <w:p w:rsidR="00C95DDF" w:rsidRPr="007543F8" w:rsidRDefault="00C95DDF" w:rsidP="00C95DDF">
      <w:pPr>
        <w:pStyle w:val="Pagrindinistekstas"/>
        <w:spacing w:after="0"/>
        <w:rPr>
          <w:szCs w:val="22"/>
        </w:rPr>
      </w:pPr>
      <w:r w:rsidRPr="007543F8">
        <w:rPr>
          <w:szCs w:val="22"/>
        </w:rPr>
        <w:t>Šis vaistas, kaip ir visi kiti, gali sukelti šalutinį poveikį, nors jis pasireiškia ne visiems žmonėms.</w:t>
      </w:r>
    </w:p>
    <w:p w:rsidR="00C95DDF" w:rsidRPr="007543F8" w:rsidRDefault="00C95DDF" w:rsidP="00C95DDF">
      <w:pPr>
        <w:pStyle w:val="Pagrindinistekstas"/>
        <w:spacing w:after="0"/>
        <w:rPr>
          <w:szCs w:val="22"/>
        </w:rPr>
      </w:pPr>
    </w:p>
    <w:p w:rsidR="00C95DDF" w:rsidRPr="007543F8" w:rsidRDefault="00C95DDF" w:rsidP="00C95DDF">
      <w:pPr>
        <w:pStyle w:val="Pagrindinistekstas"/>
        <w:spacing w:after="0"/>
        <w:rPr>
          <w:szCs w:val="22"/>
        </w:rPr>
      </w:pPr>
      <w:r w:rsidRPr="007543F8">
        <w:rPr>
          <w:szCs w:val="22"/>
        </w:rPr>
        <w:t>Gali pasireikšti toks šalutinis poveikis:</w:t>
      </w:r>
    </w:p>
    <w:p w:rsidR="00C95DDF" w:rsidRPr="007543F8" w:rsidRDefault="00C95DDF" w:rsidP="00C95DDF">
      <w:pPr>
        <w:pStyle w:val="BT-EMEASMCA"/>
        <w:numPr>
          <w:ilvl w:val="0"/>
          <w:numId w:val="4"/>
        </w:numPr>
        <w:suppressAutoHyphens/>
        <w:rPr>
          <w:szCs w:val="22"/>
        </w:rPr>
      </w:pPr>
      <w:r w:rsidRPr="007543F8">
        <w:rPr>
          <w:szCs w:val="22"/>
        </w:rPr>
        <w:t>alerginė odos reakcija,</w:t>
      </w:r>
    </w:p>
    <w:p w:rsidR="00C95DDF" w:rsidRPr="007543F8" w:rsidRDefault="00C95DDF" w:rsidP="00C95DDF">
      <w:pPr>
        <w:pStyle w:val="BT-EMEASMCA"/>
        <w:numPr>
          <w:ilvl w:val="0"/>
          <w:numId w:val="4"/>
        </w:numPr>
        <w:suppressAutoHyphens/>
        <w:rPr>
          <w:szCs w:val="22"/>
        </w:rPr>
      </w:pPr>
      <w:r w:rsidRPr="007543F8">
        <w:rPr>
          <w:szCs w:val="22"/>
        </w:rPr>
        <w:t xml:space="preserve">deginimo pojūtis, </w:t>
      </w:r>
    </w:p>
    <w:p w:rsidR="00C95DDF" w:rsidRPr="007543F8" w:rsidRDefault="00C95DDF" w:rsidP="00C95DDF">
      <w:pPr>
        <w:pStyle w:val="BT-EMEASMCA"/>
        <w:numPr>
          <w:ilvl w:val="0"/>
          <w:numId w:val="4"/>
        </w:numPr>
        <w:suppressAutoHyphens/>
        <w:rPr>
          <w:szCs w:val="22"/>
        </w:rPr>
      </w:pPr>
      <w:r w:rsidRPr="007543F8">
        <w:rPr>
          <w:szCs w:val="22"/>
        </w:rPr>
        <w:t>niežėjimas,</w:t>
      </w:r>
    </w:p>
    <w:p w:rsidR="00C95DDF" w:rsidRPr="007543F8" w:rsidRDefault="00C95DDF" w:rsidP="00C95DDF">
      <w:pPr>
        <w:pStyle w:val="BT-EMEASMCA"/>
        <w:numPr>
          <w:ilvl w:val="0"/>
          <w:numId w:val="4"/>
        </w:numPr>
        <w:suppressAutoHyphens/>
        <w:rPr>
          <w:szCs w:val="22"/>
        </w:rPr>
      </w:pPr>
      <w:r w:rsidRPr="007543F8">
        <w:rPr>
          <w:szCs w:val="22"/>
        </w:rPr>
        <w:t xml:space="preserve">dirginimas vaisto vartojimo vietoje, </w:t>
      </w:r>
    </w:p>
    <w:p w:rsidR="00C95DDF" w:rsidRPr="007543F8" w:rsidRDefault="00C95DDF" w:rsidP="00C95DDF">
      <w:pPr>
        <w:pStyle w:val="BT-EMEASMCA"/>
        <w:numPr>
          <w:ilvl w:val="0"/>
          <w:numId w:val="4"/>
        </w:numPr>
        <w:suppressAutoHyphens/>
        <w:rPr>
          <w:szCs w:val="22"/>
        </w:rPr>
      </w:pPr>
      <w:r w:rsidRPr="007543F8">
        <w:rPr>
          <w:szCs w:val="22"/>
        </w:rPr>
        <w:t xml:space="preserve">odos sausumas, </w:t>
      </w:r>
    </w:p>
    <w:p w:rsidR="00C95DDF" w:rsidRPr="007543F8" w:rsidRDefault="00C95DDF" w:rsidP="00C95DDF">
      <w:pPr>
        <w:pStyle w:val="BT-EMEASMCA"/>
        <w:numPr>
          <w:ilvl w:val="0"/>
          <w:numId w:val="4"/>
        </w:numPr>
        <w:suppressAutoHyphens/>
        <w:rPr>
          <w:szCs w:val="22"/>
        </w:rPr>
      </w:pPr>
      <w:r w:rsidRPr="007543F8">
        <w:rPr>
          <w:szCs w:val="22"/>
        </w:rPr>
        <w:t>raudonas, niežintis bėrimas (kontaktinis dermatitas),</w:t>
      </w:r>
    </w:p>
    <w:p w:rsidR="00C95DDF" w:rsidRPr="007543F8" w:rsidRDefault="00C95DDF" w:rsidP="00C95DDF">
      <w:pPr>
        <w:pStyle w:val="BT-EMEASMCA"/>
        <w:numPr>
          <w:ilvl w:val="0"/>
          <w:numId w:val="4"/>
        </w:numPr>
        <w:suppressAutoHyphens/>
        <w:rPr>
          <w:szCs w:val="22"/>
        </w:rPr>
      </w:pPr>
      <w:r w:rsidRPr="007543F8">
        <w:rPr>
          <w:szCs w:val="22"/>
        </w:rPr>
        <w:t>raudonas iškilus išbėrimas aplink burną arba smakrą (apyburnio dermatitas),</w:t>
      </w:r>
    </w:p>
    <w:p w:rsidR="00C95DDF" w:rsidRPr="007543F8" w:rsidRDefault="00C95DDF" w:rsidP="00C95DDF">
      <w:pPr>
        <w:pStyle w:val="BT-EMEASMCA"/>
        <w:numPr>
          <w:ilvl w:val="0"/>
          <w:numId w:val="4"/>
        </w:numPr>
        <w:suppressAutoHyphens/>
        <w:rPr>
          <w:szCs w:val="22"/>
        </w:rPr>
      </w:pPr>
      <w:r w:rsidRPr="007543F8">
        <w:rPr>
          <w:szCs w:val="22"/>
        </w:rPr>
        <w:t>odos suminkštėjimas ir pabalimas (panašus į odos pokyčius, atsirandančius dėl ilgalaikio vandens arba drėgmės poveikio).</w:t>
      </w:r>
    </w:p>
    <w:p w:rsidR="00C95DDF" w:rsidRPr="007543F8" w:rsidRDefault="00C95DDF" w:rsidP="00C95DDF">
      <w:pPr>
        <w:pStyle w:val="BT-EMEASMCA"/>
        <w:numPr>
          <w:ilvl w:val="0"/>
          <w:numId w:val="4"/>
        </w:numPr>
        <w:suppressAutoHyphens/>
        <w:rPr>
          <w:szCs w:val="22"/>
        </w:rPr>
      </w:pPr>
      <w:r w:rsidRPr="007543F8">
        <w:rPr>
          <w:szCs w:val="22"/>
        </w:rPr>
        <w:t xml:space="preserve">į </w:t>
      </w:r>
      <w:proofErr w:type="spellStart"/>
      <w:r w:rsidRPr="007543F8">
        <w:rPr>
          <w:szCs w:val="22"/>
        </w:rPr>
        <w:t>aknę</w:t>
      </w:r>
      <w:proofErr w:type="spellEnd"/>
      <w:r w:rsidRPr="007543F8">
        <w:rPr>
          <w:szCs w:val="22"/>
        </w:rPr>
        <w:t xml:space="preserve"> (jaunatvinius spuogus) panašūs pokyčiai, </w:t>
      </w:r>
    </w:p>
    <w:p w:rsidR="00C95DDF" w:rsidRPr="007543F8" w:rsidRDefault="00C95DDF" w:rsidP="00C95DDF">
      <w:pPr>
        <w:pStyle w:val="BT-EMEASMCA"/>
        <w:numPr>
          <w:ilvl w:val="0"/>
          <w:numId w:val="4"/>
        </w:numPr>
        <w:suppressAutoHyphens/>
        <w:rPr>
          <w:szCs w:val="22"/>
        </w:rPr>
      </w:pPr>
      <w:r w:rsidRPr="007543F8">
        <w:rPr>
          <w:szCs w:val="22"/>
        </w:rPr>
        <w:t xml:space="preserve">netaisyklingos formos odos žymės ar ruoželiai, </w:t>
      </w:r>
    </w:p>
    <w:p w:rsidR="00C95DDF" w:rsidRPr="007543F8" w:rsidRDefault="00C95DDF" w:rsidP="00C95DDF">
      <w:pPr>
        <w:pStyle w:val="BT-EMEASMCA"/>
        <w:numPr>
          <w:ilvl w:val="0"/>
          <w:numId w:val="4"/>
        </w:numPr>
        <w:suppressAutoHyphens/>
        <w:rPr>
          <w:szCs w:val="22"/>
        </w:rPr>
      </w:pPr>
      <w:r w:rsidRPr="007543F8">
        <w:rPr>
          <w:szCs w:val="22"/>
        </w:rPr>
        <w:t xml:space="preserve">padidėjęs plaukuotumas, </w:t>
      </w:r>
    </w:p>
    <w:p w:rsidR="00C95DDF" w:rsidRPr="007543F8" w:rsidRDefault="00C95DDF" w:rsidP="00C95DDF">
      <w:pPr>
        <w:pStyle w:val="BT-EMEASMCA"/>
        <w:numPr>
          <w:ilvl w:val="0"/>
          <w:numId w:val="4"/>
        </w:numPr>
        <w:suppressAutoHyphens/>
        <w:rPr>
          <w:szCs w:val="22"/>
        </w:rPr>
      </w:pPr>
      <w:r w:rsidRPr="007543F8">
        <w:rPr>
          <w:szCs w:val="22"/>
        </w:rPr>
        <w:t xml:space="preserve">prakaitinė, </w:t>
      </w:r>
    </w:p>
    <w:p w:rsidR="00C95DDF" w:rsidRPr="007543F8" w:rsidRDefault="00C95DDF" w:rsidP="00C95DDF">
      <w:pPr>
        <w:pStyle w:val="BT-EMEASMCA"/>
        <w:numPr>
          <w:ilvl w:val="0"/>
          <w:numId w:val="4"/>
        </w:numPr>
        <w:suppressAutoHyphens/>
        <w:rPr>
          <w:szCs w:val="22"/>
        </w:rPr>
      </w:pPr>
      <w:r w:rsidRPr="007543F8">
        <w:rPr>
          <w:szCs w:val="22"/>
        </w:rPr>
        <w:t>išbėrimas,</w:t>
      </w:r>
    </w:p>
    <w:p w:rsidR="00C95DDF" w:rsidRPr="007543F8" w:rsidRDefault="00C95DDF" w:rsidP="00C95DDF">
      <w:pPr>
        <w:pStyle w:val="BT-EMEASMCA"/>
        <w:numPr>
          <w:ilvl w:val="0"/>
          <w:numId w:val="4"/>
        </w:numPr>
        <w:suppressAutoHyphens/>
        <w:rPr>
          <w:szCs w:val="22"/>
        </w:rPr>
      </w:pPr>
      <w:r w:rsidRPr="007543F8">
        <w:rPr>
          <w:szCs w:val="22"/>
        </w:rPr>
        <w:t>odos nublukimas,</w:t>
      </w:r>
    </w:p>
    <w:p w:rsidR="00C95DDF" w:rsidRPr="007543F8" w:rsidRDefault="00C95DDF" w:rsidP="00C95DDF">
      <w:pPr>
        <w:pStyle w:val="BT-EMEASMCA"/>
        <w:numPr>
          <w:ilvl w:val="0"/>
          <w:numId w:val="4"/>
        </w:numPr>
        <w:rPr>
          <w:szCs w:val="22"/>
        </w:rPr>
      </w:pPr>
      <w:r w:rsidRPr="007543F8">
        <w:rPr>
          <w:szCs w:val="22"/>
        </w:rPr>
        <w:t>antrinė odos infekcija (</w:t>
      </w:r>
      <w:proofErr w:type="spellStart"/>
      <w:r w:rsidRPr="007543F8">
        <w:rPr>
          <w:szCs w:val="22"/>
        </w:rPr>
        <w:t>t.y</w:t>
      </w:r>
      <w:proofErr w:type="spellEnd"/>
      <w:r w:rsidRPr="007543F8">
        <w:rPr>
          <w:szCs w:val="22"/>
        </w:rPr>
        <w:t xml:space="preserve">., infekcija, kuri atsiranda kitos infekcijos ar ligos gydymo metu arba tuoj pat po gydymo), </w:t>
      </w:r>
    </w:p>
    <w:p w:rsidR="00C95DDF" w:rsidRPr="007543F8" w:rsidRDefault="00C95DDF" w:rsidP="00C95DDF">
      <w:pPr>
        <w:pStyle w:val="BT-EMEASMCA"/>
        <w:numPr>
          <w:ilvl w:val="0"/>
          <w:numId w:val="4"/>
        </w:numPr>
        <w:rPr>
          <w:szCs w:val="22"/>
        </w:rPr>
      </w:pPr>
      <w:r w:rsidRPr="007543F8">
        <w:rPr>
          <w:szCs w:val="22"/>
        </w:rPr>
        <w:t>plaukų maišelių uždegimas arba patinimas (</w:t>
      </w:r>
      <w:proofErr w:type="spellStart"/>
      <w:r w:rsidRPr="007543F8">
        <w:rPr>
          <w:szCs w:val="22"/>
        </w:rPr>
        <w:t>folikulitas</w:t>
      </w:r>
      <w:proofErr w:type="spellEnd"/>
      <w:r w:rsidRPr="007543F8">
        <w:rPr>
          <w:szCs w:val="22"/>
        </w:rPr>
        <w:t xml:space="preserve">), </w:t>
      </w:r>
    </w:p>
    <w:p w:rsidR="00C95DDF" w:rsidRPr="007543F8" w:rsidRDefault="00C95DDF" w:rsidP="00C95DDF">
      <w:pPr>
        <w:pStyle w:val="BT-EMEASMCA"/>
        <w:numPr>
          <w:ilvl w:val="0"/>
          <w:numId w:val="4"/>
        </w:numPr>
        <w:suppressAutoHyphens/>
        <w:rPr>
          <w:szCs w:val="22"/>
        </w:rPr>
      </w:pPr>
      <w:r w:rsidRPr="007543F8">
        <w:rPr>
          <w:szCs w:val="22"/>
        </w:rPr>
        <w:t>kraujagyslių odos paviršiuje išryškėjimas (kraujagyslių išsiplėtimas) ir odos suplonėjimas (dažniau tikėtinas, jeigu vaistas ilgą laiką vartojamas ant veido odos).</w:t>
      </w:r>
    </w:p>
    <w:p w:rsidR="00C95DDF" w:rsidRPr="007543F8" w:rsidRDefault="00C95DDF" w:rsidP="00C95DDF">
      <w:pPr>
        <w:pStyle w:val="BT-EMEASMCA"/>
        <w:numPr>
          <w:ilvl w:val="0"/>
          <w:numId w:val="4"/>
        </w:numPr>
        <w:suppressAutoHyphens/>
        <w:rPr>
          <w:szCs w:val="22"/>
        </w:rPr>
      </w:pPr>
      <w:r w:rsidRPr="007543F8">
        <w:rPr>
          <w:szCs w:val="22"/>
        </w:rPr>
        <w:t>grybelių arba antibiotikams atsparių bakterijų augimas.</w:t>
      </w:r>
    </w:p>
    <w:p w:rsidR="00C95DDF" w:rsidRPr="007543F8" w:rsidRDefault="00C95DDF" w:rsidP="00C95DDF">
      <w:pPr>
        <w:pStyle w:val="BT-EMEASMCA"/>
        <w:rPr>
          <w:szCs w:val="22"/>
        </w:rPr>
      </w:pPr>
      <w:r w:rsidRPr="007543F8">
        <w:rPr>
          <w:szCs w:val="22"/>
        </w:rPr>
        <w:t>Jeigu vaisto vartojama ilgai ir (arba) jo purškiama ant didelio odos ploto, didesnis veikliosios medžiagos hidrokortizono kiekis gali patekti į kraują ir sukelti kortikosteroidams būdingą sisteminį (viso organizmo) poveikį (žr. skyrelį „Įspėjimai ir atsargumo priemonės“).</w:t>
      </w:r>
    </w:p>
    <w:p w:rsidR="00C95DDF" w:rsidRPr="007543F8" w:rsidRDefault="00C95DDF" w:rsidP="00C95DDF">
      <w:pPr>
        <w:pStyle w:val="BT-EMEASMCA"/>
        <w:numPr>
          <w:ilvl w:val="0"/>
          <w:numId w:val="0"/>
        </w:numPr>
        <w:ind w:left="567"/>
        <w:rPr>
          <w:szCs w:val="22"/>
        </w:rPr>
      </w:pPr>
    </w:p>
    <w:p w:rsidR="00C95DDF" w:rsidRPr="007543F8" w:rsidRDefault="00C95DDF" w:rsidP="00C95DDF">
      <w:pPr>
        <w:pStyle w:val="BT-EMEASMCA"/>
        <w:numPr>
          <w:ilvl w:val="0"/>
          <w:numId w:val="0"/>
        </w:numPr>
        <w:tabs>
          <w:tab w:val="left" w:pos="1296"/>
        </w:tabs>
        <w:ind w:left="567" w:hanging="567"/>
        <w:rPr>
          <w:b/>
          <w:szCs w:val="22"/>
        </w:rPr>
      </w:pPr>
      <w:r w:rsidRPr="007543F8">
        <w:rPr>
          <w:b/>
          <w:szCs w:val="22"/>
        </w:rPr>
        <w:t>Kitas šalutinis poveikis, kuris gali pasireikšti vaikams</w:t>
      </w:r>
    </w:p>
    <w:p w:rsidR="00C95DDF" w:rsidRPr="007543F8" w:rsidRDefault="00C95DDF" w:rsidP="00C95DDF">
      <w:pPr>
        <w:pStyle w:val="BT-EMEASMCA"/>
        <w:numPr>
          <w:ilvl w:val="0"/>
          <w:numId w:val="0"/>
        </w:numPr>
        <w:tabs>
          <w:tab w:val="left" w:pos="1296"/>
        </w:tabs>
        <w:ind w:left="567" w:hanging="567"/>
        <w:rPr>
          <w:szCs w:val="22"/>
        </w:rPr>
      </w:pPr>
      <w:r w:rsidRPr="007543F8">
        <w:rPr>
          <w:szCs w:val="22"/>
        </w:rPr>
        <w:t>Ilgalaikis kortikosteroidų vartojimas gali sutrikdyti kūdikių ir vaikų augimą bei raidą.</w:t>
      </w:r>
    </w:p>
    <w:p w:rsidR="00C95DDF" w:rsidRPr="007543F8" w:rsidRDefault="00C95DDF" w:rsidP="00C95DDF">
      <w:pPr>
        <w:pStyle w:val="Pagrindinistekstas"/>
        <w:spacing w:after="0"/>
        <w:rPr>
          <w:b/>
          <w:i/>
          <w:szCs w:val="22"/>
        </w:rPr>
      </w:pPr>
    </w:p>
    <w:p w:rsidR="00C95DDF" w:rsidRPr="007543F8" w:rsidRDefault="00C95DDF" w:rsidP="00C95DDF">
      <w:pPr>
        <w:rPr>
          <w:b/>
          <w:szCs w:val="22"/>
        </w:rPr>
      </w:pPr>
      <w:r w:rsidRPr="007543F8">
        <w:rPr>
          <w:b/>
          <w:noProof/>
          <w:szCs w:val="22"/>
        </w:rPr>
        <w:t>Pranešimas apie šalutinį poveikį</w:t>
      </w:r>
    </w:p>
    <w:p w:rsidR="00C95DDF" w:rsidRPr="00503D27" w:rsidRDefault="00C95DDF" w:rsidP="00C95DDF">
      <w:pPr>
        <w:ind w:right="-449"/>
        <w:rPr>
          <w:noProof/>
          <w:szCs w:val="24"/>
        </w:rPr>
      </w:pPr>
      <w:r w:rsidRPr="0036377A">
        <w:lastRenderedPageBreak/>
        <w:t>Jeigu pasireiškė šalutinis poveikis, įskaitant šiame lapelyje nenurodytą, pas</w:t>
      </w:r>
      <w:r>
        <w:t>akykite gydytojui arba vaistininkui</w:t>
      </w:r>
      <w:r w:rsidRPr="0036377A">
        <w:t>. Apie šalutinį poveikį taip pat galite pranešti Valstybinei vaistų kontrolės tarnybai prie Lietuvos Respublikos sveikatos apsaugos ministerijos nemokamu t</w:t>
      </w:r>
      <w:r w:rsidRPr="0036377A">
        <w:rPr>
          <w:lang w:eastAsia="zh-CN"/>
        </w:rPr>
        <w:t>elefonu 8 800 73568</w:t>
      </w:r>
      <w:r w:rsidRPr="0036377A">
        <w:t xml:space="preserve"> arba užpildyti interneto svetainėje </w:t>
      </w:r>
      <w:hyperlink r:id="rId5" w:history="1">
        <w:r w:rsidRPr="0036377A">
          <w:rPr>
            <w:rStyle w:val="Hipersaitas"/>
            <w:rFonts w:eastAsia="SimSun"/>
          </w:rPr>
          <w:t>www.vvkt.lt</w:t>
        </w:r>
      </w:hyperlink>
      <w:r w:rsidRPr="0036377A">
        <w:t xml:space="preserve"> esančią formą ir pateikti ją Valstybinei vaistų kontrolės tarnybai prie Lietuvos Respublikos sveikatos apsaugos ministerijos vienu iš šių būdų: raštu (adresu Žirmūnų g. 139A, LT-09120 Vilnius), </w:t>
      </w:r>
      <w:r w:rsidRPr="0036377A">
        <w:rPr>
          <w:lang w:eastAsia="zh-CN"/>
        </w:rPr>
        <w:t xml:space="preserve">nemokamu </w:t>
      </w:r>
      <w:r w:rsidRPr="0036377A">
        <w:t>fakso numeriu 8 800 20131</w:t>
      </w:r>
      <w:r w:rsidRPr="0036377A">
        <w:rPr>
          <w:lang w:eastAsia="zh-CN"/>
        </w:rPr>
        <w:t xml:space="preserve">, </w:t>
      </w:r>
      <w:r w:rsidRPr="0036377A">
        <w:t xml:space="preserve">el. paštu </w:t>
      </w:r>
      <w:hyperlink r:id="rId6" w:history="1">
        <w:r w:rsidRPr="0036377A">
          <w:rPr>
            <w:rStyle w:val="Hipersaitas"/>
            <w:rFonts w:eastAsia="SimSun"/>
          </w:rPr>
          <w:t>NepageidaujamaR@vvkt.lt</w:t>
        </w:r>
      </w:hyperlink>
      <w:r w:rsidRPr="0036377A">
        <w:t xml:space="preserve">, taip pat per Valstybinės vaistų kontrolės tarnybos prie Lietuvos Respublikos sveikatos apsaugos ministerijos interneto svetainę (adresu </w:t>
      </w:r>
      <w:hyperlink r:id="rId7" w:history="1">
        <w:r w:rsidRPr="0036377A">
          <w:rPr>
            <w:rStyle w:val="Hipersaitas"/>
            <w:rFonts w:eastAsia="SimSun"/>
          </w:rPr>
          <w:t>http://www.vvkt.lt</w:t>
        </w:r>
      </w:hyperlink>
      <w:r w:rsidRPr="0036377A">
        <w:t>). Pranešdami apie šalutinį poveikį galite mums padėti gauti daugiau informacijos apie šio vaisto saugumą.</w:t>
      </w:r>
    </w:p>
    <w:p w:rsidR="00C95DDF" w:rsidRPr="007543F8" w:rsidRDefault="00C95DDF" w:rsidP="00C95DDF">
      <w:pPr>
        <w:pStyle w:val="Pagrindinistekstas"/>
        <w:spacing w:after="0"/>
        <w:rPr>
          <w:szCs w:val="22"/>
        </w:rPr>
      </w:pPr>
    </w:p>
    <w:p w:rsidR="00C95DDF" w:rsidRPr="007543F8" w:rsidRDefault="00C95DDF" w:rsidP="00C95DDF">
      <w:pPr>
        <w:pStyle w:val="BTEMEASMCA"/>
      </w:pPr>
    </w:p>
    <w:p w:rsidR="00C95DDF" w:rsidRPr="007543F8" w:rsidRDefault="00C95DDF" w:rsidP="00C95DDF">
      <w:pPr>
        <w:pStyle w:val="PI-1EMEASMCA"/>
      </w:pPr>
      <w:bookmarkStart w:id="8" w:name="_Toc129243143"/>
      <w:bookmarkStart w:id="9" w:name="_Toc129243268"/>
      <w:r w:rsidRPr="007543F8">
        <w:t>5.</w:t>
      </w:r>
      <w:r w:rsidRPr="007543F8">
        <w:tab/>
      </w:r>
      <w:bookmarkEnd w:id="8"/>
      <w:bookmarkEnd w:id="9"/>
      <w:r w:rsidRPr="007543F8">
        <w:t>Kaip laikyti OXYCORT</w:t>
      </w:r>
    </w:p>
    <w:p w:rsidR="00C95DDF" w:rsidRPr="007543F8" w:rsidRDefault="00C95DDF" w:rsidP="00C95DDF">
      <w:pPr>
        <w:pStyle w:val="BTEMEASMCA"/>
      </w:pPr>
    </w:p>
    <w:p w:rsidR="00C95DDF" w:rsidRPr="007543F8" w:rsidRDefault="00C95DDF" w:rsidP="00C95DDF">
      <w:pPr>
        <w:pStyle w:val="BTEMEASMCA"/>
      </w:pPr>
      <w:r w:rsidRPr="007543F8">
        <w:t>Šį vaistą laikykite vaikams nepasiekiamoje ir nepastebimoje vietoje.</w:t>
      </w:r>
    </w:p>
    <w:p w:rsidR="00C95DDF" w:rsidRPr="007543F8" w:rsidRDefault="00C95DDF" w:rsidP="00C95DDF">
      <w:pPr>
        <w:pStyle w:val="BTEMEASMCA"/>
      </w:pPr>
      <w:r w:rsidRPr="007543F8">
        <w:t xml:space="preserve">Ant dėžutės ir </w:t>
      </w:r>
      <w:proofErr w:type="spellStart"/>
      <w:r w:rsidRPr="007543F8">
        <w:t>talpyklės</w:t>
      </w:r>
      <w:proofErr w:type="spellEnd"/>
      <w:r w:rsidRPr="007543F8">
        <w:t xml:space="preserve"> po „</w:t>
      </w:r>
      <w:r>
        <w:t>EXP</w:t>
      </w:r>
      <w:r w:rsidRPr="007543F8">
        <w:t xml:space="preserve">“ nurodytam tinkamumo laikui pasibaigus, šio vaisto vartoti negalima. </w:t>
      </w:r>
    </w:p>
    <w:p w:rsidR="00C95DDF" w:rsidRPr="007543F8" w:rsidRDefault="00C95DDF" w:rsidP="00C95DDF">
      <w:pPr>
        <w:pStyle w:val="BTEMEASMCA"/>
      </w:pPr>
    </w:p>
    <w:p w:rsidR="00C95DDF" w:rsidRPr="007543F8" w:rsidRDefault="00C95DDF" w:rsidP="00C95DDF">
      <w:pPr>
        <w:pStyle w:val="Pagrindinistekstas"/>
        <w:spacing w:after="0"/>
        <w:rPr>
          <w:szCs w:val="22"/>
        </w:rPr>
      </w:pPr>
      <w:r w:rsidRPr="007543F8">
        <w:rPr>
          <w:szCs w:val="22"/>
        </w:rPr>
        <w:t>Laikyti ne aukštesnėje kaip 25 </w:t>
      </w:r>
      <w:r w:rsidRPr="007543F8">
        <w:rPr>
          <w:szCs w:val="22"/>
        </w:rPr>
        <w:sym w:font="Symbol" w:char="F0B0"/>
      </w:r>
      <w:r w:rsidRPr="007543F8">
        <w:rPr>
          <w:szCs w:val="22"/>
        </w:rPr>
        <w:t>C temperatūroje.</w:t>
      </w:r>
    </w:p>
    <w:p w:rsidR="00C95DDF" w:rsidRPr="007543F8" w:rsidRDefault="00C95DDF" w:rsidP="00C95DDF">
      <w:pPr>
        <w:pStyle w:val="Pagrindinistekstas"/>
        <w:spacing w:after="0"/>
        <w:rPr>
          <w:szCs w:val="22"/>
        </w:rPr>
      </w:pPr>
    </w:p>
    <w:p w:rsidR="00C95DDF" w:rsidRPr="007543F8" w:rsidRDefault="00C95DDF" w:rsidP="00C95DDF">
      <w:pPr>
        <w:pStyle w:val="BTEMEASMCA"/>
      </w:pPr>
      <w:r w:rsidRPr="007543F8">
        <w:t>Ypač degios dujos.</w:t>
      </w:r>
    </w:p>
    <w:p w:rsidR="00C95DDF" w:rsidRPr="007543F8" w:rsidRDefault="00C95DDF" w:rsidP="00C95DDF">
      <w:pPr>
        <w:pStyle w:val="Pagrindinistekstas"/>
        <w:spacing w:after="0"/>
        <w:rPr>
          <w:szCs w:val="22"/>
        </w:rPr>
      </w:pPr>
      <w:r w:rsidRPr="007543F8">
        <w:rPr>
          <w:szCs w:val="22"/>
        </w:rPr>
        <w:t xml:space="preserve">Slėginė </w:t>
      </w:r>
      <w:proofErr w:type="spellStart"/>
      <w:r w:rsidRPr="007543F8">
        <w:rPr>
          <w:szCs w:val="22"/>
        </w:rPr>
        <w:t>talpyklė</w:t>
      </w:r>
      <w:proofErr w:type="spellEnd"/>
      <w:r w:rsidRPr="007543F8">
        <w:rPr>
          <w:szCs w:val="22"/>
        </w:rPr>
        <w:t>. Kaitinama gali sprogti.</w:t>
      </w:r>
    </w:p>
    <w:p w:rsidR="00C95DDF" w:rsidRPr="007543F8" w:rsidRDefault="00C95DDF" w:rsidP="00C95DDF">
      <w:pPr>
        <w:pStyle w:val="BTEMEASMCA"/>
      </w:pPr>
      <w:r w:rsidRPr="007543F8">
        <w:t>Laikyti atokiau nuo šilumos šaltinių, karštų paviršių, žiežirbų, atviros liepsnos arba kitų degimo šaltinių. Nerūkyti.</w:t>
      </w:r>
    </w:p>
    <w:p w:rsidR="00C95DDF" w:rsidRPr="007543F8" w:rsidRDefault="00C95DDF" w:rsidP="00C95DDF">
      <w:pPr>
        <w:pStyle w:val="BTEMEASMCA"/>
      </w:pPr>
      <w:r w:rsidRPr="007543F8">
        <w:t>Nepurkšti į atvirą liepsną arba kitus degimo šaltinius.</w:t>
      </w:r>
    </w:p>
    <w:p w:rsidR="00C95DDF" w:rsidRPr="007543F8" w:rsidRDefault="00C95DDF" w:rsidP="00C95DDF">
      <w:pPr>
        <w:pStyle w:val="BTEMEASMCA"/>
      </w:pPr>
      <w:r w:rsidRPr="007543F8">
        <w:t>Nepradurti ir nedeginti net panaudotos.</w:t>
      </w:r>
    </w:p>
    <w:p w:rsidR="00C95DDF" w:rsidRPr="007543F8" w:rsidRDefault="00C95DDF" w:rsidP="00C95DDF">
      <w:pPr>
        <w:pStyle w:val="BTEMEASMCA"/>
      </w:pPr>
      <w:r w:rsidRPr="007543F8">
        <w:t>Saugoti nuo saulės šviesos. Nelaikykite aukštesnėje kaip 50 °C/122 °F temperatūroje.</w:t>
      </w:r>
    </w:p>
    <w:p w:rsidR="00C95DDF" w:rsidRPr="007543F8" w:rsidRDefault="00C95DDF" w:rsidP="00C95DDF">
      <w:pPr>
        <w:pStyle w:val="BTEMEASMCA"/>
      </w:pPr>
    </w:p>
    <w:p w:rsidR="00C95DDF" w:rsidRPr="007543F8" w:rsidRDefault="00C95DDF" w:rsidP="00C95DDF">
      <w:pPr>
        <w:pStyle w:val="BTEMEASMCA"/>
      </w:pPr>
      <w:r w:rsidRPr="007543F8">
        <w:t>Vaistų negalima išmesti į kanalizaciją arba su buitinėmis atliekomis. Kaip išmesti nereikalingus vaistus, klauskite vaistininko. Šios priemonės padės apsaugoti aplinką.</w:t>
      </w:r>
    </w:p>
    <w:p w:rsidR="00C95DDF" w:rsidRPr="007543F8" w:rsidRDefault="00C95DDF" w:rsidP="00C95DDF">
      <w:pPr>
        <w:pStyle w:val="BTEMEASMCA"/>
      </w:pPr>
    </w:p>
    <w:p w:rsidR="00C95DDF" w:rsidRPr="007543F8" w:rsidRDefault="00C95DDF" w:rsidP="00C95DDF">
      <w:pPr>
        <w:pStyle w:val="BTEMEASMCA"/>
      </w:pPr>
    </w:p>
    <w:p w:rsidR="00C95DDF" w:rsidRPr="007543F8" w:rsidRDefault="00C95DDF" w:rsidP="00C95DDF">
      <w:pPr>
        <w:pStyle w:val="PI-1EMEASMCA"/>
      </w:pPr>
      <w:bookmarkStart w:id="10" w:name="_Toc129243144"/>
      <w:bookmarkStart w:id="11" w:name="_Toc129243269"/>
      <w:r w:rsidRPr="007543F8">
        <w:t>6.</w:t>
      </w:r>
      <w:r w:rsidRPr="007543F8">
        <w:tab/>
        <w:t>Pakuotės turinys ir kita informacija</w:t>
      </w:r>
      <w:r w:rsidRPr="007543F8" w:rsidDel="00DD476D">
        <w:t xml:space="preserve"> </w:t>
      </w:r>
      <w:bookmarkEnd w:id="10"/>
      <w:bookmarkEnd w:id="11"/>
    </w:p>
    <w:p w:rsidR="00C95DDF" w:rsidRPr="007543F8" w:rsidRDefault="00C95DDF" w:rsidP="00C95DDF">
      <w:pPr>
        <w:pStyle w:val="BTEMEASMCA"/>
      </w:pPr>
    </w:p>
    <w:p w:rsidR="00C95DDF" w:rsidRPr="007543F8" w:rsidRDefault="00C95DDF" w:rsidP="00C95DDF">
      <w:pPr>
        <w:pStyle w:val="PI-3EMEASMCA"/>
      </w:pPr>
      <w:r w:rsidRPr="007543F8">
        <w:t>OXYCORT sudėtis</w:t>
      </w:r>
    </w:p>
    <w:p w:rsidR="00C95DDF" w:rsidRPr="007543F8" w:rsidRDefault="00C95DDF" w:rsidP="00C95DDF">
      <w:pPr>
        <w:pStyle w:val="BT-EMEASMCA"/>
        <w:tabs>
          <w:tab w:val="clear" w:pos="567"/>
          <w:tab w:val="num" w:pos="720"/>
        </w:tabs>
        <w:ind w:left="720" w:hanging="363"/>
        <w:rPr>
          <w:szCs w:val="22"/>
        </w:rPr>
      </w:pPr>
      <w:r w:rsidRPr="007543F8">
        <w:rPr>
          <w:szCs w:val="22"/>
        </w:rPr>
        <w:t xml:space="preserve">Veikliosios medžiagos. Viename grame suspensijos yra 9,3 mg </w:t>
      </w:r>
      <w:proofErr w:type="spellStart"/>
      <w:r w:rsidRPr="007543F8">
        <w:rPr>
          <w:szCs w:val="22"/>
        </w:rPr>
        <w:t>oksitetraciklino</w:t>
      </w:r>
      <w:proofErr w:type="spellEnd"/>
      <w:r w:rsidRPr="007543F8">
        <w:rPr>
          <w:szCs w:val="22"/>
        </w:rPr>
        <w:t xml:space="preserve"> (hidrochlorido</w:t>
      </w:r>
      <w:r>
        <w:rPr>
          <w:szCs w:val="22"/>
        </w:rPr>
        <w:t xml:space="preserve"> </w:t>
      </w:r>
      <w:r w:rsidRPr="007543F8">
        <w:rPr>
          <w:szCs w:val="22"/>
        </w:rPr>
        <w:t xml:space="preserve">pavidalu)  ir 3,1 mg hidrokortizono. </w:t>
      </w:r>
    </w:p>
    <w:p w:rsidR="00C95DDF" w:rsidRPr="007543F8" w:rsidRDefault="00C95DDF" w:rsidP="00C95DDF">
      <w:pPr>
        <w:pStyle w:val="BT-EMEASMCA"/>
        <w:tabs>
          <w:tab w:val="clear" w:pos="567"/>
          <w:tab w:val="num" w:pos="720"/>
        </w:tabs>
        <w:ind w:left="720" w:hanging="363"/>
        <w:rPr>
          <w:szCs w:val="22"/>
        </w:rPr>
      </w:pPr>
      <w:r w:rsidRPr="007543F8">
        <w:rPr>
          <w:szCs w:val="22"/>
        </w:rPr>
        <w:t xml:space="preserve">Pagalbinės medžiagos yra </w:t>
      </w:r>
      <w:proofErr w:type="spellStart"/>
      <w:r w:rsidRPr="007543F8">
        <w:rPr>
          <w:bCs/>
          <w:iCs/>
          <w:szCs w:val="22"/>
        </w:rPr>
        <w:t>sorbitano</w:t>
      </w:r>
      <w:proofErr w:type="spellEnd"/>
      <w:r w:rsidRPr="007543F8">
        <w:rPr>
          <w:bCs/>
          <w:iCs/>
          <w:szCs w:val="22"/>
        </w:rPr>
        <w:t xml:space="preserve"> </w:t>
      </w:r>
      <w:proofErr w:type="spellStart"/>
      <w:r w:rsidRPr="007543F8">
        <w:rPr>
          <w:bCs/>
          <w:iCs/>
          <w:szCs w:val="22"/>
        </w:rPr>
        <w:t>trioleatas</w:t>
      </w:r>
      <w:proofErr w:type="spellEnd"/>
      <w:r w:rsidRPr="007543F8">
        <w:rPr>
          <w:bCs/>
          <w:iCs/>
          <w:szCs w:val="22"/>
        </w:rPr>
        <w:t xml:space="preserve">, </w:t>
      </w:r>
      <w:proofErr w:type="spellStart"/>
      <w:r w:rsidRPr="007543F8">
        <w:rPr>
          <w:bCs/>
          <w:iCs/>
          <w:szCs w:val="22"/>
        </w:rPr>
        <w:t>lecitinas</w:t>
      </w:r>
      <w:proofErr w:type="spellEnd"/>
      <w:r w:rsidRPr="007543F8">
        <w:rPr>
          <w:bCs/>
          <w:iCs/>
          <w:szCs w:val="22"/>
        </w:rPr>
        <w:t xml:space="preserve">, </w:t>
      </w:r>
      <w:proofErr w:type="spellStart"/>
      <w:r w:rsidRPr="007543F8">
        <w:rPr>
          <w:bCs/>
          <w:iCs/>
          <w:szCs w:val="22"/>
        </w:rPr>
        <w:t>izopropilo</w:t>
      </w:r>
      <w:proofErr w:type="spellEnd"/>
      <w:r w:rsidRPr="007543F8">
        <w:rPr>
          <w:bCs/>
          <w:iCs/>
          <w:szCs w:val="22"/>
        </w:rPr>
        <w:t xml:space="preserve"> </w:t>
      </w:r>
      <w:proofErr w:type="spellStart"/>
      <w:r w:rsidRPr="007543F8">
        <w:rPr>
          <w:bCs/>
          <w:iCs/>
          <w:szCs w:val="22"/>
        </w:rPr>
        <w:t>miristatas</w:t>
      </w:r>
      <w:proofErr w:type="spellEnd"/>
      <w:r w:rsidRPr="007543F8">
        <w:rPr>
          <w:bCs/>
          <w:iCs/>
          <w:szCs w:val="22"/>
        </w:rPr>
        <w:t xml:space="preserve">, propano, butano ir </w:t>
      </w:r>
      <w:proofErr w:type="spellStart"/>
      <w:r w:rsidRPr="007543F8">
        <w:rPr>
          <w:bCs/>
          <w:iCs/>
          <w:szCs w:val="22"/>
        </w:rPr>
        <w:t>izobutano</w:t>
      </w:r>
      <w:proofErr w:type="spellEnd"/>
      <w:r w:rsidRPr="007543F8">
        <w:rPr>
          <w:bCs/>
          <w:iCs/>
          <w:szCs w:val="22"/>
        </w:rPr>
        <w:t xml:space="preserve"> mišinys</w:t>
      </w:r>
      <w:r w:rsidRPr="007543F8">
        <w:rPr>
          <w:szCs w:val="22"/>
        </w:rPr>
        <w:t>.</w:t>
      </w:r>
    </w:p>
    <w:p w:rsidR="00C95DDF" w:rsidRPr="007543F8" w:rsidRDefault="00C95DDF" w:rsidP="00C95DDF">
      <w:pPr>
        <w:pStyle w:val="BTEMEASMCA"/>
      </w:pPr>
    </w:p>
    <w:p w:rsidR="00C95DDF" w:rsidRPr="007543F8" w:rsidRDefault="00C95DDF" w:rsidP="00C95DDF">
      <w:pPr>
        <w:pStyle w:val="PI-3EMEASMCA"/>
      </w:pPr>
      <w:r w:rsidRPr="007543F8">
        <w:t>OXYCORT išvaizda ir kiekis pakuotėje</w:t>
      </w:r>
    </w:p>
    <w:p w:rsidR="00C95DDF" w:rsidRPr="007543F8" w:rsidRDefault="00C95DDF" w:rsidP="00C95DDF">
      <w:pPr>
        <w:pStyle w:val="Pagrindinistekstas"/>
        <w:spacing w:after="0"/>
        <w:rPr>
          <w:szCs w:val="22"/>
        </w:rPr>
      </w:pPr>
      <w:r w:rsidRPr="007543F8">
        <w:rPr>
          <w:szCs w:val="22"/>
        </w:rPr>
        <w:t>Homogeninė, geltona arba rusvai gelsva, būdingo kvapo suspensija.</w:t>
      </w:r>
    </w:p>
    <w:p w:rsidR="00C95DDF" w:rsidRPr="007543F8" w:rsidRDefault="00C95DDF" w:rsidP="00C95DDF">
      <w:pPr>
        <w:pStyle w:val="BTEMEASMCA"/>
      </w:pPr>
      <w:r w:rsidRPr="007543F8">
        <w:t xml:space="preserve">Kartono dėžutėje yra slėginė aliuminio </w:t>
      </w:r>
      <w:proofErr w:type="spellStart"/>
      <w:r w:rsidRPr="007543F8">
        <w:t>talpyklė</w:t>
      </w:r>
      <w:proofErr w:type="spellEnd"/>
      <w:r w:rsidRPr="007543F8">
        <w:t xml:space="preserve">, uždaryta vožtuvu su </w:t>
      </w:r>
      <w:r w:rsidRPr="007543F8">
        <w:rPr>
          <w:bCs/>
          <w:iCs/>
        </w:rPr>
        <w:t>nuspaudžiamąja polietileno galvute.</w:t>
      </w:r>
      <w:r w:rsidRPr="007543F8">
        <w:t xml:space="preserve"> Slėginėje </w:t>
      </w:r>
      <w:proofErr w:type="spellStart"/>
      <w:r w:rsidRPr="007543F8">
        <w:t>talpyklėje</w:t>
      </w:r>
      <w:proofErr w:type="spellEnd"/>
      <w:r w:rsidRPr="007543F8">
        <w:t xml:space="preserve"> yra 32,25 g suspensijos. </w:t>
      </w:r>
    </w:p>
    <w:p w:rsidR="00C95DDF" w:rsidRPr="007543F8" w:rsidRDefault="00C95DDF" w:rsidP="00C95DDF">
      <w:pPr>
        <w:pStyle w:val="BTEMEASMCA"/>
      </w:pPr>
    </w:p>
    <w:p w:rsidR="00C95DDF" w:rsidRPr="007543F8" w:rsidRDefault="00C95DDF" w:rsidP="00C95DDF">
      <w:pPr>
        <w:pStyle w:val="PI-3EMEASMCA"/>
      </w:pPr>
      <w:r w:rsidRPr="007543F8">
        <w:t>Registruotojas ir gamintojas</w:t>
      </w:r>
    </w:p>
    <w:p w:rsidR="00C95DDF" w:rsidRPr="007543F8" w:rsidRDefault="00C95DDF" w:rsidP="00C95DDF">
      <w:pPr>
        <w:rPr>
          <w:szCs w:val="22"/>
          <w:lang w:val="pl-PL"/>
        </w:rPr>
      </w:pPr>
      <w:r w:rsidRPr="007543F8">
        <w:rPr>
          <w:szCs w:val="22"/>
          <w:lang w:val="pl-PL"/>
        </w:rPr>
        <w:t>Tarchomińskie Zakłady Farmaceutyczne “Polfa” S.A.</w:t>
      </w:r>
    </w:p>
    <w:p w:rsidR="00C95DDF" w:rsidRPr="007543F8" w:rsidRDefault="00C95DDF" w:rsidP="00C95DDF">
      <w:pPr>
        <w:pStyle w:val="Pagrindinistekstas"/>
        <w:spacing w:after="0"/>
        <w:rPr>
          <w:szCs w:val="22"/>
        </w:rPr>
      </w:pPr>
      <w:proofErr w:type="spellStart"/>
      <w:r w:rsidRPr="007543F8">
        <w:rPr>
          <w:szCs w:val="22"/>
        </w:rPr>
        <w:t>ul</w:t>
      </w:r>
      <w:proofErr w:type="spellEnd"/>
      <w:r w:rsidRPr="007543F8">
        <w:rPr>
          <w:szCs w:val="22"/>
        </w:rPr>
        <w:t xml:space="preserve">. A. </w:t>
      </w:r>
      <w:proofErr w:type="spellStart"/>
      <w:r w:rsidRPr="007543F8">
        <w:rPr>
          <w:szCs w:val="22"/>
        </w:rPr>
        <w:t>Fleminga</w:t>
      </w:r>
      <w:proofErr w:type="spellEnd"/>
      <w:r w:rsidRPr="007543F8">
        <w:rPr>
          <w:szCs w:val="22"/>
        </w:rPr>
        <w:t xml:space="preserve"> 2 </w:t>
      </w:r>
    </w:p>
    <w:p w:rsidR="00C95DDF" w:rsidRPr="007543F8" w:rsidRDefault="00C95DDF" w:rsidP="00C95DDF">
      <w:pPr>
        <w:pStyle w:val="Pagrindinistekstas"/>
        <w:spacing w:after="0"/>
        <w:rPr>
          <w:szCs w:val="22"/>
        </w:rPr>
      </w:pPr>
      <w:r w:rsidRPr="007543F8">
        <w:rPr>
          <w:szCs w:val="22"/>
        </w:rPr>
        <w:t xml:space="preserve">03–176 </w:t>
      </w:r>
      <w:proofErr w:type="spellStart"/>
      <w:r w:rsidRPr="007543F8">
        <w:rPr>
          <w:szCs w:val="22"/>
        </w:rPr>
        <w:t>Warszawa</w:t>
      </w:r>
      <w:proofErr w:type="spellEnd"/>
    </w:p>
    <w:p w:rsidR="00C95DDF" w:rsidRPr="007543F8" w:rsidRDefault="00C95DDF" w:rsidP="00C95DDF">
      <w:pPr>
        <w:pStyle w:val="Pagrindinistekstas"/>
        <w:spacing w:after="0"/>
        <w:rPr>
          <w:szCs w:val="22"/>
        </w:rPr>
      </w:pPr>
      <w:r w:rsidRPr="007543F8">
        <w:rPr>
          <w:szCs w:val="22"/>
        </w:rPr>
        <w:t>Lenkija</w:t>
      </w:r>
    </w:p>
    <w:p w:rsidR="00C95DDF" w:rsidRPr="007543F8" w:rsidRDefault="00C95DDF" w:rsidP="00C95DDF">
      <w:pPr>
        <w:pStyle w:val="BTEMEASMCA"/>
      </w:pPr>
    </w:p>
    <w:p w:rsidR="00C95DDF" w:rsidRPr="007543F8" w:rsidRDefault="00C95DDF" w:rsidP="00C95DDF">
      <w:pPr>
        <w:pStyle w:val="BTEMEASMCA"/>
      </w:pPr>
    </w:p>
    <w:p w:rsidR="00C95DDF" w:rsidRPr="007543F8" w:rsidRDefault="00C95DDF" w:rsidP="00C95DDF">
      <w:pPr>
        <w:pStyle w:val="BTbEMEASMCA"/>
        <w:rPr>
          <w:szCs w:val="22"/>
        </w:rPr>
      </w:pPr>
      <w:r w:rsidRPr="007543F8">
        <w:rPr>
          <w:bCs/>
          <w:szCs w:val="22"/>
        </w:rPr>
        <w:t>Šis pakuotės lapelis</w:t>
      </w:r>
      <w:r w:rsidRPr="007543F8">
        <w:rPr>
          <w:szCs w:val="22"/>
        </w:rPr>
        <w:t xml:space="preserve"> paskutinį kartą peržiūrėtas</w:t>
      </w:r>
      <w:r>
        <w:rPr>
          <w:szCs w:val="22"/>
        </w:rPr>
        <w:t xml:space="preserve"> 2018-11-15.</w:t>
      </w:r>
    </w:p>
    <w:p w:rsidR="00C95DDF" w:rsidRPr="007543F8" w:rsidRDefault="00C95DDF" w:rsidP="00C95DDF">
      <w:pPr>
        <w:pStyle w:val="BTbEMEASMCA"/>
        <w:rPr>
          <w:szCs w:val="22"/>
        </w:rPr>
      </w:pPr>
    </w:p>
    <w:p w:rsidR="00C95DDF" w:rsidRDefault="00C95DDF" w:rsidP="00C95DDF">
      <w:pPr>
        <w:numPr>
          <w:ilvl w:val="12"/>
          <w:numId w:val="0"/>
        </w:numPr>
        <w:ind w:right="-2"/>
        <w:rPr>
          <w:szCs w:val="22"/>
        </w:rPr>
      </w:pPr>
      <w:r w:rsidRPr="007543F8">
        <w:rPr>
          <w:szCs w:val="22"/>
        </w:rPr>
        <w:t>Išsami informacija apie šį vaistą pateikiama Valstybinės vaistų kontrolės tarnybos prie Lietuvos Respublikos sveikatos apsaugos ministerijos tinklalapyje</w:t>
      </w:r>
      <w:r w:rsidRPr="007543F8">
        <w:rPr>
          <w:i/>
          <w:szCs w:val="22"/>
        </w:rPr>
        <w:t xml:space="preserve"> </w:t>
      </w:r>
      <w:hyperlink r:id="rId8" w:history="1">
        <w:r w:rsidRPr="007543F8">
          <w:rPr>
            <w:rStyle w:val="Hipersaitas"/>
            <w:rFonts w:eastAsia="SimSun"/>
            <w:szCs w:val="22"/>
          </w:rPr>
          <w:t>http://www.vvkt.lt/</w:t>
        </w:r>
      </w:hyperlink>
      <w:r w:rsidRPr="007543F8">
        <w:rPr>
          <w:szCs w:val="22"/>
        </w:rPr>
        <w:t>.</w:t>
      </w:r>
    </w:p>
    <w:p w:rsidR="009F6526" w:rsidRDefault="009F6526">
      <w:bookmarkStart w:id="12" w:name="_GoBack"/>
      <w:bookmarkEnd w:id="12"/>
    </w:p>
    <w:sectPr w:rsidR="009F652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bullet"/>
      <w:lvlText w:val="-"/>
      <w:lvlJc w:val="left"/>
      <w:pPr>
        <w:tabs>
          <w:tab w:val="num" w:pos="567"/>
        </w:tabs>
        <w:ind w:left="567" w:hanging="567"/>
      </w:pPr>
      <w:rPr>
        <w:rFonts w:ascii="Times New Roman" w:hAnsi="Times New Roman" w:cs="Times New Roman"/>
      </w:rPr>
    </w:lvl>
  </w:abstractNum>
  <w:abstractNum w:abstractNumId="1" w15:restartNumberingAfterBreak="0">
    <w:nsid w:val="2753672E"/>
    <w:multiLevelType w:val="hybridMultilevel"/>
    <w:tmpl w:val="BAD6474E"/>
    <w:lvl w:ilvl="0" w:tplc="591AAC16">
      <w:start w:val="1"/>
      <w:numFmt w:val="bullet"/>
      <w:lvlRestart w:val="0"/>
      <w:pStyle w:val="BT-EMEASMCA"/>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CC7732"/>
    <w:multiLevelType w:val="hybridMultilevel"/>
    <w:tmpl w:val="FAD2E1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2C26F79"/>
    <w:multiLevelType w:val="hybridMultilevel"/>
    <w:tmpl w:val="451CAD8C"/>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DDF"/>
    <w:rsid w:val="009F6526"/>
    <w:rsid w:val="00C95D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FE8A32-52B0-4A43-9054-AA75B96D4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5DDF"/>
    <w:pPr>
      <w:spacing w:after="0" w:line="240" w:lineRule="auto"/>
    </w:pPr>
    <w:rPr>
      <w:rFonts w:ascii="Times New Roman" w:eastAsia="Times New Roman" w:hAnsi="Times New Roman" w:cs="Times New Roman"/>
      <w:szCs w:val="20"/>
      <w:lang w:eastAsia="lt-LT"/>
    </w:rPr>
  </w:style>
  <w:style w:type="paragraph" w:styleId="Antrat1">
    <w:name w:val="heading 1"/>
    <w:basedOn w:val="prastasis"/>
    <w:next w:val="prastasis"/>
    <w:link w:val="Antrat1Diagrama"/>
    <w:uiPriority w:val="9"/>
    <w:qFormat/>
    <w:rsid w:val="00C95DD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C95DD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4">
    <w:name w:val="heading 4"/>
    <w:basedOn w:val="prastasis"/>
    <w:next w:val="prastasis"/>
    <w:link w:val="Antrat4Diagrama"/>
    <w:uiPriority w:val="9"/>
    <w:semiHidden/>
    <w:unhideWhenUsed/>
    <w:qFormat/>
    <w:rsid w:val="00C95DD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
    <w:semiHidden/>
    <w:rsid w:val="00C95DDF"/>
    <w:rPr>
      <w:rFonts w:asciiTheme="majorHAnsi" w:eastAsiaTheme="majorEastAsia" w:hAnsiTheme="majorHAnsi" w:cstheme="majorBidi"/>
      <w:i/>
      <w:iCs/>
      <w:color w:val="2E74B5" w:themeColor="accent1" w:themeShade="BF"/>
      <w:szCs w:val="20"/>
      <w:lang w:eastAsia="lt-LT"/>
    </w:rPr>
  </w:style>
  <w:style w:type="paragraph" w:styleId="Pagrindinistekstas">
    <w:name w:val="Body Text"/>
    <w:basedOn w:val="prastasis"/>
    <w:link w:val="PagrindinistekstasDiagrama"/>
    <w:rsid w:val="00C95DDF"/>
    <w:pPr>
      <w:spacing w:after="120"/>
    </w:pPr>
  </w:style>
  <w:style w:type="character" w:customStyle="1" w:styleId="PagrindinistekstasDiagrama">
    <w:name w:val="Pagrindinis tekstas Diagrama"/>
    <w:basedOn w:val="Numatytasispastraiposriftas"/>
    <w:link w:val="Pagrindinistekstas"/>
    <w:rsid w:val="00C95DDF"/>
    <w:rPr>
      <w:rFonts w:ascii="Times New Roman" w:eastAsia="Times New Roman" w:hAnsi="Times New Roman" w:cs="Times New Roman"/>
      <w:szCs w:val="20"/>
      <w:lang w:eastAsia="lt-LT"/>
    </w:rPr>
  </w:style>
  <w:style w:type="character" w:styleId="Hipersaitas">
    <w:name w:val="Hyperlink"/>
    <w:basedOn w:val="Numatytasispastraiposriftas"/>
    <w:uiPriority w:val="99"/>
    <w:rsid w:val="00C95DDF"/>
    <w:rPr>
      <w:color w:val="0000FF"/>
      <w:u w:val="single"/>
    </w:rPr>
  </w:style>
  <w:style w:type="paragraph" w:customStyle="1" w:styleId="BT-EMEASMCA">
    <w:name w:val="BT- EMEA_SMCA"/>
    <w:basedOn w:val="prastasis"/>
    <w:rsid w:val="00C95DDF"/>
    <w:pPr>
      <w:numPr>
        <w:numId w:val="1"/>
      </w:numPr>
    </w:pPr>
  </w:style>
  <w:style w:type="paragraph" w:customStyle="1" w:styleId="PI-1EMEASMCA">
    <w:name w:val="PI-1 EMEA_SMCA"/>
    <w:basedOn w:val="Antrat2"/>
    <w:autoRedefine/>
    <w:rsid w:val="00C95DDF"/>
    <w:pPr>
      <w:keepLines w:val="0"/>
      <w:tabs>
        <w:tab w:val="left" w:pos="567"/>
      </w:tabs>
      <w:spacing w:before="0"/>
      <w:ind w:left="567" w:hanging="567"/>
    </w:pPr>
    <w:rPr>
      <w:rFonts w:ascii="Times New Roman" w:eastAsia="Times New Roman" w:hAnsi="Times New Roman" w:cs="Times New Roman"/>
      <w:b/>
      <w:color w:val="auto"/>
      <w:sz w:val="22"/>
      <w:szCs w:val="22"/>
      <w:lang w:eastAsia="en-US"/>
    </w:rPr>
  </w:style>
  <w:style w:type="paragraph" w:customStyle="1" w:styleId="BTEMEASMCA">
    <w:name w:val="BT EMEA_SMCA"/>
    <w:basedOn w:val="prastasis"/>
    <w:autoRedefine/>
    <w:rsid w:val="00C95DDF"/>
    <w:rPr>
      <w:szCs w:val="22"/>
      <w:lang w:eastAsia="en-US"/>
    </w:rPr>
  </w:style>
  <w:style w:type="paragraph" w:customStyle="1" w:styleId="TTEMEASMCA">
    <w:name w:val="TT EMEA_SMCA"/>
    <w:basedOn w:val="Antrat1"/>
    <w:autoRedefine/>
    <w:rsid w:val="00C95DDF"/>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eastAsia="en-US"/>
    </w:rPr>
  </w:style>
  <w:style w:type="paragraph" w:customStyle="1" w:styleId="PI-3EMEASMCA">
    <w:name w:val="PI-3 EMEA_SMCA"/>
    <w:basedOn w:val="prastasis"/>
    <w:autoRedefine/>
    <w:rsid w:val="00C95DDF"/>
    <w:pPr>
      <w:spacing w:line="220" w:lineRule="exact"/>
    </w:pPr>
    <w:rPr>
      <w:b/>
      <w:bCs/>
      <w:szCs w:val="22"/>
      <w:lang w:eastAsia="en-US"/>
    </w:rPr>
  </w:style>
  <w:style w:type="paragraph" w:customStyle="1" w:styleId="BTbEMEASMCA">
    <w:name w:val="BT(b) EMEA_SMCA"/>
    <w:basedOn w:val="BTEMEASMCA"/>
    <w:autoRedefine/>
    <w:rsid w:val="00C95DDF"/>
    <w:rPr>
      <w:b/>
      <w:noProof/>
      <w:szCs w:val="24"/>
    </w:rPr>
  </w:style>
  <w:style w:type="paragraph" w:styleId="Sraopastraipa">
    <w:name w:val="List Paragraph"/>
    <w:basedOn w:val="prastasis"/>
    <w:uiPriority w:val="34"/>
    <w:qFormat/>
    <w:rsid w:val="00C95DDF"/>
    <w:pPr>
      <w:ind w:left="720"/>
      <w:contextualSpacing/>
    </w:pPr>
    <w:rPr>
      <w:rFonts w:eastAsia="Batang"/>
      <w:sz w:val="24"/>
      <w:lang w:val="pl-PL" w:eastAsia="pl-PL"/>
    </w:rPr>
  </w:style>
  <w:style w:type="character" w:customStyle="1" w:styleId="Antrat2Diagrama">
    <w:name w:val="Antraštė 2 Diagrama"/>
    <w:basedOn w:val="Numatytasispastraiposriftas"/>
    <w:link w:val="Antrat2"/>
    <w:uiPriority w:val="9"/>
    <w:semiHidden/>
    <w:rsid w:val="00C95DDF"/>
    <w:rPr>
      <w:rFonts w:asciiTheme="majorHAnsi" w:eastAsiaTheme="majorEastAsia" w:hAnsiTheme="majorHAnsi" w:cstheme="majorBidi"/>
      <w:color w:val="2E74B5" w:themeColor="accent1" w:themeShade="BF"/>
      <w:sz w:val="26"/>
      <w:szCs w:val="26"/>
      <w:lang w:eastAsia="lt-LT"/>
    </w:rPr>
  </w:style>
  <w:style w:type="character" w:customStyle="1" w:styleId="Antrat1Diagrama">
    <w:name w:val="Antraštė 1 Diagrama"/>
    <w:basedOn w:val="Numatytasispastraiposriftas"/>
    <w:link w:val="Antrat1"/>
    <w:uiPriority w:val="9"/>
    <w:rsid w:val="00C95DDF"/>
    <w:rPr>
      <w:rFonts w:asciiTheme="majorHAnsi" w:eastAsiaTheme="majorEastAsia" w:hAnsiTheme="majorHAnsi" w:cstheme="majorBidi"/>
      <w:color w:val="2E74B5" w:themeColor="accent1" w:themeShade="BF"/>
      <w:sz w:val="32"/>
      <w:szCs w:val="3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6936</Words>
  <Characters>3954</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2019-01-31T06:08:00Z</dcterms:created>
  <dcterms:modified xsi:type="dcterms:W3CDTF">2019-01-31T06:09:00Z</dcterms:modified>
</cp:coreProperties>
</file>