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89C2" w14:textId="77777777" w:rsidR="0023644A" w:rsidRPr="0085618C" w:rsidRDefault="0023644A" w:rsidP="0023644A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0" w:name="_Toc129243138"/>
      <w:bookmarkStart w:id="1" w:name="_Toc129243263"/>
      <w:r w:rsidRPr="00EC036B">
        <w:rPr>
          <w:b/>
          <w:lang w:val="lt-LT"/>
        </w:rPr>
        <w:t>Pakuotės lapelis:</w:t>
      </w:r>
      <w:r w:rsidRPr="00EC036B">
        <w:rPr>
          <w:b/>
          <w:bCs/>
          <w:iCs/>
          <w:szCs w:val="24"/>
          <w:lang w:val="lt-LT"/>
        </w:rPr>
        <w:t xml:space="preserve"> </w:t>
      </w:r>
      <w:r w:rsidRPr="00EC036B">
        <w:rPr>
          <w:b/>
          <w:lang w:val="lt-LT"/>
        </w:rPr>
        <w:t>informacija vartotojui</w:t>
      </w:r>
      <w:bookmarkEnd w:id="0"/>
      <w:bookmarkEnd w:id="1"/>
    </w:p>
    <w:p w14:paraId="1199C447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30B8161" w14:textId="77777777" w:rsidR="0023644A" w:rsidRPr="0085618C" w:rsidRDefault="0023644A" w:rsidP="0023644A">
      <w:pPr>
        <w:tabs>
          <w:tab w:val="clear" w:pos="567"/>
        </w:tabs>
        <w:spacing w:line="240" w:lineRule="auto"/>
        <w:jc w:val="center"/>
        <w:rPr>
          <w:b/>
          <w:snapToGrid/>
          <w:szCs w:val="22"/>
          <w:lang w:val="lt-LT" w:eastAsia="lt-LT"/>
        </w:rPr>
      </w:pPr>
      <w:r w:rsidRPr="0085618C">
        <w:rPr>
          <w:b/>
          <w:snapToGrid/>
          <w:szCs w:val="22"/>
          <w:lang w:val="lt-LT" w:eastAsia="lt-LT"/>
        </w:rPr>
        <w:t>POLYGYNAX makšties minkštos</w:t>
      </w:r>
      <w:r>
        <w:rPr>
          <w:b/>
          <w:snapToGrid/>
          <w:szCs w:val="22"/>
          <w:lang w:val="lt-LT" w:eastAsia="lt-LT"/>
        </w:rPr>
        <w:t>ios</w:t>
      </w:r>
      <w:r w:rsidRPr="0085618C">
        <w:rPr>
          <w:b/>
          <w:snapToGrid/>
          <w:szCs w:val="22"/>
          <w:lang w:val="lt-LT" w:eastAsia="lt-LT"/>
        </w:rPr>
        <w:t xml:space="preserve"> kapsulės</w:t>
      </w:r>
    </w:p>
    <w:p w14:paraId="7B6F38CE" w14:textId="77777777" w:rsidR="0023644A" w:rsidRPr="0085618C" w:rsidRDefault="0023644A" w:rsidP="0023644A">
      <w:pPr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lt-LT"/>
        </w:rPr>
      </w:pPr>
      <w:proofErr w:type="spellStart"/>
      <w:r>
        <w:rPr>
          <w:snapToGrid/>
          <w:szCs w:val="22"/>
          <w:lang w:val="lt-LT" w:eastAsia="lt-LT"/>
        </w:rPr>
        <w:t>n</w:t>
      </w:r>
      <w:r w:rsidRPr="0085618C">
        <w:rPr>
          <w:snapToGrid/>
          <w:szCs w:val="22"/>
          <w:lang w:val="lt-LT" w:eastAsia="lt-LT"/>
        </w:rPr>
        <w:t>eomicino</w:t>
      </w:r>
      <w:proofErr w:type="spellEnd"/>
      <w:r w:rsidRPr="0085618C">
        <w:rPr>
          <w:snapToGrid/>
          <w:szCs w:val="22"/>
          <w:lang w:val="lt-LT" w:eastAsia="lt-LT"/>
        </w:rPr>
        <w:t xml:space="preserve"> sulfatas</w:t>
      </w:r>
      <w:r>
        <w:rPr>
          <w:snapToGrid/>
          <w:szCs w:val="22"/>
          <w:lang w:val="lt-LT" w:eastAsia="lt-LT"/>
        </w:rPr>
        <w:t xml:space="preserve">, </w:t>
      </w:r>
      <w:proofErr w:type="spellStart"/>
      <w:r>
        <w:rPr>
          <w:snapToGrid/>
          <w:szCs w:val="22"/>
          <w:lang w:val="lt-LT" w:eastAsia="lt-LT"/>
        </w:rPr>
        <w:t>p</w:t>
      </w:r>
      <w:r w:rsidRPr="0085618C">
        <w:rPr>
          <w:snapToGrid/>
          <w:szCs w:val="22"/>
          <w:lang w:val="lt-LT" w:eastAsia="lt-LT"/>
        </w:rPr>
        <w:t>olimiksino</w:t>
      </w:r>
      <w:proofErr w:type="spellEnd"/>
      <w:r w:rsidRPr="0085618C">
        <w:rPr>
          <w:snapToGrid/>
          <w:szCs w:val="22"/>
          <w:lang w:val="lt-LT" w:eastAsia="lt-LT"/>
        </w:rPr>
        <w:t xml:space="preserve"> B sulfatas</w:t>
      </w:r>
      <w:r>
        <w:rPr>
          <w:snapToGrid/>
          <w:szCs w:val="22"/>
          <w:lang w:val="lt-LT" w:eastAsia="lt-LT"/>
        </w:rPr>
        <w:t xml:space="preserve">, </w:t>
      </w:r>
      <w:proofErr w:type="spellStart"/>
      <w:r>
        <w:rPr>
          <w:snapToGrid/>
          <w:szCs w:val="22"/>
          <w:lang w:val="lt-LT" w:eastAsia="lt-LT"/>
        </w:rPr>
        <w:t>n</w:t>
      </w:r>
      <w:r w:rsidRPr="0085618C">
        <w:rPr>
          <w:snapToGrid/>
          <w:szCs w:val="22"/>
          <w:lang w:val="lt-LT" w:eastAsia="lt-LT"/>
        </w:rPr>
        <w:t>istatinas</w:t>
      </w:r>
      <w:proofErr w:type="spellEnd"/>
    </w:p>
    <w:p w14:paraId="74E33D7B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CBA8142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b/>
          <w:noProof/>
          <w:snapToGrid/>
          <w:szCs w:val="22"/>
          <w:lang w:val="lt-LT"/>
        </w:rPr>
      </w:pPr>
      <w:r w:rsidRPr="0085618C">
        <w:rPr>
          <w:b/>
          <w:noProof/>
          <w:snapToGrid/>
          <w:szCs w:val="22"/>
          <w:lang w:val="lt-LT"/>
        </w:rPr>
        <w:t>Atidžiai perskaitykite visą šį lapelį, prieš pradėdami vartoti vaistą</w:t>
      </w:r>
      <w:r w:rsidRPr="000D1848">
        <w:rPr>
          <w:b/>
          <w:noProof/>
          <w:snapToGrid/>
          <w:szCs w:val="22"/>
          <w:lang w:val="lt-LT"/>
        </w:rPr>
        <w:t>, nes jame pateikiama Jums svarbi informacij</w:t>
      </w:r>
      <w:r>
        <w:rPr>
          <w:b/>
          <w:noProof/>
          <w:snapToGrid/>
          <w:szCs w:val="22"/>
          <w:lang w:val="lt-LT"/>
        </w:rPr>
        <w:t>a</w:t>
      </w:r>
      <w:r w:rsidRPr="0085618C">
        <w:rPr>
          <w:b/>
          <w:noProof/>
          <w:snapToGrid/>
          <w:szCs w:val="22"/>
          <w:lang w:val="lt-LT"/>
        </w:rPr>
        <w:t>.</w:t>
      </w:r>
    </w:p>
    <w:p w14:paraId="29FD9845" w14:textId="77777777" w:rsidR="0023644A" w:rsidRPr="0085618C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Neišmeskite šio lapelio, nes vėl gali prireikti jį perskaityti.</w:t>
      </w:r>
    </w:p>
    <w:p w14:paraId="00C75A00" w14:textId="77777777" w:rsidR="0023644A" w:rsidRPr="0085618C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Jeigu kiltų daugiau klausimų, kreipkitės į gydytoją arba vaistininką.</w:t>
      </w:r>
    </w:p>
    <w:p w14:paraId="7AD457B0" w14:textId="77777777" w:rsidR="0023644A" w:rsidRPr="0085618C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Šis vaistas skirtas Jums, todėl kitiems žmonėms jo duoti negalima. Vaistas gali jiems pakenkti (net tiems, kurių ligos </w:t>
      </w:r>
      <w:r>
        <w:rPr>
          <w:snapToGrid/>
          <w:szCs w:val="22"/>
          <w:lang w:val="lt-LT"/>
        </w:rPr>
        <w:t>požymiai</w:t>
      </w:r>
      <w:r w:rsidRPr="0085618C">
        <w:rPr>
          <w:snapToGrid/>
          <w:szCs w:val="22"/>
          <w:lang w:val="lt-LT"/>
        </w:rPr>
        <w:t xml:space="preserve"> yra tokie patys kaip Jūsų).</w:t>
      </w:r>
    </w:p>
    <w:p w14:paraId="3F34E2CA" w14:textId="77777777" w:rsidR="0023644A" w:rsidRPr="00C202DF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72604F">
        <w:rPr>
          <w:snapToGrid/>
          <w:szCs w:val="22"/>
          <w:lang w:val="lt-LT"/>
        </w:rPr>
        <w:t>Jeigu pasireiškė šalutinis poveikis (net jeigu jis šiame lapelyje nenurodytas), kreipkitės į gydytoją</w:t>
      </w:r>
      <w:r>
        <w:rPr>
          <w:snapToGrid/>
          <w:szCs w:val="22"/>
          <w:lang w:val="lt-LT"/>
        </w:rPr>
        <w:t xml:space="preserve"> </w:t>
      </w:r>
      <w:r w:rsidRPr="0072604F">
        <w:rPr>
          <w:snapToGrid/>
          <w:szCs w:val="22"/>
          <w:lang w:val="lt-LT"/>
        </w:rPr>
        <w:t>arba</w:t>
      </w:r>
      <w:r>
        <w:rPr>
          <w:snapToGrid/>
          <w:szCs w:val="22"/>
          <w:lang w:val="lt-LT"/>
        </w:rPr>
        <w:t xml:space="preserve"> </w:t>
      </w:r>
      <w:r w:rsidRPr="0072604F">
        <w:rPr>
          <w:snapToGrid/>
          <w:szCs w:val="22"/>
          <w:lang w:val="lt-LT"/>
        </w:rPr>
        <w:t>vaistininką</w:t>
      </w:r>
      <w:r w:rsidRPr="0085618C">
        <w:rPr>
          <w:snapToGrid/>
          <w:szCs w:val="22"/>
          <w:lang w:val="lt-LT"/>
        </w:rPr>
        <w:t>.</w:t>
      </w:r>
      <w:r>
        <w:rPr>
          <w:snapToGrid/>
          <w:szCs w:val="22"/>
          <w:lang w:val="lt-LT"/>
        </w:rPr>
        <w:t xml:space="preserve"> </w:t>
      </w:r>
      <w:proofErr w:type="spellStart"/>
      <w:r w:rsidRPr="00B17C52">
        <w:rPr>
          <w:snapToGrid/>
          <w:szCs w:val="22"/>
          <w:lang w:val="en-US"/>
        </w:rPr>
        <w:t>Žr</w:t>
      </w:r>
      <w:proofErr w:type="spellEnd"/>
      <w:r w:rsidRPr="00B17C52">
        <w:rPr>
          <w:snapToGrid/>
          <w:szCs w:val="22"/>
          <w:lang w:val="en-US"/>
        </w:rPr>
        <w:t xml:space="preserve">. 4 </w:t>
      </w:r>
      <w:proofErr w:type="spellStart"/>
      <w:r w:rsidRPr="00B17C52">
        <w:rPr>
          <w:snapToGrid/>
          <w:szCs w:val="22"/>
          <w:lang w:val="en-US"/>
        </w:rPr>
        <w:t>skyrių</w:t>
      </w:r>
      <w:proofErr w:type="spellEnd"/>
      <w:r w:rsidRPr="00B17C52">
        <w:rPr>
          <w:snapToGrid/>
          <w:szCs w:val="22"/>
          <w:lang w:val="en-US"/>
        </w:rPr>
        <w:t xml:space="preserve"> </w:t>
      </w:r>
    </w:p>
    <w:p w14:paraId="6AED3B51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A098DC2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B9024B7" w14:textId="77777777" w:rsidR="0023644A" w:rsidRPr="0059777C" w:rsidRDefault="0023644A" w:rsidP="0023644A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r w:rsidRPr="0059777C">
        <w:rPr>
          <w:b/>
          <w:bCs/>
          <w:szCs w:val="28"/>
          <w:lang w:val="lt-LT" w:eastAsia="x-none"/>
        </w:rPr>
        <w:t>Apie ką rašoma šiame lapelyje?</w:t>
      </w:r>
    </w:p>
    <w:p w14:paraId="73DD6721" w14:textId="77777777" w:rsidR="0023644A" w:rsidRDefault="0023644A" w:rsidP="0023644A">
      <w:pPr>
        <w:tabs>
          <w:tab w:val="clear" w:pos="567"/>
        </w:tabs>
        <w:spacing w:line="240" w:lineRule="auto"/>
        <w:ind w:left="567" w:hanging="567"/>
        <w:rPr>
          <w:b/>
          <w:noProof/>
          <w:snapToGrid/>
          <w:szCs w:val="22"/>
          <w:lang w:val="lt-LT"/>
        </w:rPr>
      </w:pPr>
    </w:p>
    <w:p w14:paraId="0FCA5759" w14:textId="77777777" w:rsidR="0023644A" w:rsidRPr="0085618C" w:rsidRDefault="0023644A" w:rsidP="0023644A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1.</w:t>
      </w:r>
      <w:r w:rsidRPr="0085618C">
        <w:rPr>
          <w:snapToGrid/>
          <w:szCs w:val="22"/>
          <w:lang w:val="lt-LT"/>
        </w:rPr>
        <w:tab/>
        <w:t xml:space="preserve">Kas yra POLYGYNAX </w:t>
      </w:r>
      <w:r w:rsidRPr="00A42970">
        <w:rPr>
          <w:snapToGrid/>
          <w:szCs w:val="22"/>
          <w:lang w:val="lt-LT"/>
        </w:rPr>
        <w:t xml:space="preserve">makšties minkštosios kapsulės </w:t>
      </w:r>
      <w:r w:rsidRPr="0085618C">
        <w:rPr>
          <w:snapToGrid/>
          <w:szCs w:val="22"/>
          <w:lang w:val="lt-LT"/>
        </w:rPr>
        <w:t>ir kam j</w:t>
      </w:r>
      <w:r>
        <w:rPr>
          <w:snapToGrid/>
          <w:szCs w:val="22"/>
          <w:lang w:val="lt-LT"/>
        </w:rPr>
        <w:t>o</w:t>
      </w:r>
      <w:r w:rsidRPr="0085618C">
        <w:rPr>
          <w:snapToGrid/>
          <w:szCs w:val="22"/>
          <w:lang w:val="lt-LT"/>
        </w:rPr>
        <w:t>s vartojam</w:t>
      </w:r>
      <w:r>
        <w:rPr>
          <w:snapToGrid/>
          <w:szCs w:val="22"/>
          <w:lang w:val="lt-LT"/>
        </w:rPr>
        <w:t>o</w:t>
      </w:r>
      <w:r w:rsidRPr="0085618C">
        <w:rPr>
          <w:snapToGrid/>
          <w:szCs w:val="22"/>
          <w:lang w:val="lt-LT"/>
        </w:rPr>
        <w:t>s</w:t>
      </w:r>
    </w:p>
    <w:p w14:paraId="6085BCA2" w14:textId="77777777" w:rsidR="0023644A" w:rsidRPr="0085618C" w:rsidRDefault="0023644A" w:rsidP="0023644A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2.</w:t>
      </w:r>
      <w:r w:rsidRPr="0085618C">
        <w:rPr>
          <w:snapToGrid/>
          <w:szCs w:val="22"/>
          <w:lang w:val="lt-LT"/>
        </w:rPr>
        <w:tab/>
        <w:t>Kas žinotina prieš vartojant POLYGYNAX</w:t>
      </w:r>
      <w:r w:rsidRPr="00520196">
        <w:rPr>
          <w:lang w:val="lt-LT"/>
        </w:rPr>
        <w:t xml:space="preserve"> </w:t>
      </w:r>
      <w:bookmarkStart w:id="2" w:name="_Hlk58082682"/>
      <w:r w:rsidRPr="00A42970">
        <w:rPr>
          <w:snapToGrid/>
          <w:szCs w:val="22"/>
          <w:lang w:val="lt-LT"/>
        </w:rPr>
        <w:t>makšties minkšt</w:t>
      </w:r>
      <w:r>
        <w:rPr>
          <w:snapToGrid/>
          <w:szCs w:val="22"/>
          <w:lang w:val="lt-LT"/>
        </w:rPr>
        <w:t>ąsia</w:t>
      </w:r>
      <w:r w:rsidRPr="00A42970">
        <w:rPr>
          <w:snapToGrid/>
          <w:szCs w:val="22"/>
          <w:lang w:val="lt-LT"/>
        </w:rPr>
        <w:t>s kapsul</w:t>
      </w:r>
      <w:r>
        <w:rPr>
          <w:snapToGrid/>
          <w:szCs w:val="22"/>
          <w:lang w:val="lt-LT"/>
        </w:rPr>
        <w:t>e</w:t>
      </w:r>
      <w:r w:rsidRPr="00A42970">
        <w:rPr>
          <w:snapToGrid/>
          <w:szCs w:val="22"/>
          <w:lang w:val="lt-LT"/>
        </w:rPr>
        <w:t>s</w:t>
      </w:r>
      <w:bookmarkEnd w:id="2"/>
    </w:p>
    <w:p w14:paraId="05A281C0" w14:textId="77777777" w:rsidR="0023644A" w:rsidRPr="0085618C" w:rsidRDefault="0023644A" w:rsidP="0023644A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3.</w:t>
      </w:r>
      <w:r w:rsidRPr="0085618C">
        <w:rPr>
          <w:snapToGrid/>
          <w:szCs w:val="22"/>
          <w:lang w:val="lt-LT"/>
        </w:rPr>
        <w:tab/>
        <w:t>Kaip vartoti POLYGYNAX</w:t>
      </w:r>
      <w:r w:rsidRPr="00A42970">
        <w:rPr>
          <w:snapToGrid/>
          <w:szCs w:val="22"/>
          <w:lang w:val="lt-LT"/>
        </w:rPr>
        <w:t xml:space="preserve"> makšties minkšt</w:t>
      </w:r>
      <w:r>
        <w:rPr>
          <w:snapToGrid/>
          <w:szCs w:val="22"/>
          <w:lang w:val="lt-LT"/>
        </w:rPr>
        <w:t>ąsia</w:t>
      </w:r>
      <w:r w:rsidRPr="00A42970">
        <w:rPr>
          <w:snapToGrid/>
          <w:szCs w:val="22"/>
          <w:lang w:val="lt-LT"/>
        </w:rPr>
        <w:t>s kapsul</w:t>
      </w:r>
      <w:r>
        <w:rPr>
          <w:snapToGrid/>
          <w:szCs w:val="22"/>
          <w:lang w:val="lt-LT"/>
        </w:rPr>
        <w:t>e</w:t>
      </w:r>
      <w:r w:rsidRPr="00A42970">
        <w:rPr>
          <w:snapToGrid/>
          <w:szCs w:val="22"/>
          <w:lang w:val="lt-LT"/>
        </w:rPr>
        <w:t>s</w:t>
      </w:r>
    </w:p>
    <w:p w14:paraId="46584FA2" w14:textId="77777777" w:rsidR="0023644A" w:rsidRPr="0085618C" w:rsidRDefault="0023644A" w:rsidP="0023644A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4.</w:t>
      </w:r>
      <w:r w:rsidRPr="0085618C">
        <w:rPr>
          <w:snapToGrid/>
          <w:szCs w:val="22"/>
          <w:lang w:val="lt-LT"/>
        </w:rPr>
        <w:tab/>
        <w:t>Galimas šalutinis poveikis</w:t>
      </w:r>
    </w:p>
    <w:p w14:paraId="44F3CC1F" w14:textId="77777777" w:rsidR="0023644A" w:rsidRPr="0085618C" w:rsidRDefault="0023644A" w:rsidP="0023644A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5.</w:t>
      </w:r>
      <w:r w:rsidRPr="0085618C">
        <w:rPr>
          <w:snapToGrid/>
          <w:szCs w:val="22"/>
          <w:lang w:val="lt-LT"/>
        </w:rPr>
        <w:tab/>
        <w:t>Kaip laikyti POLYGYNAX</w:t>
      </w:r>
      <w:r w:rsidRPr="00A42970">
        <w:rPr>
          <w:snapToGrid/>
          <w:szCs w:val="22"/>
          <w:lang w:val="lt-LT"/>
        </w:rPr>
        <w:t xml:space="preserve"> makšties minkšt</w:t>
      </w:r>
      <w:r>
        <w:rPr>
          <w:snapToGrid/>
          <w:szCs w:val="22"/>
          <w:lang w:val="lt-LT"/>
        </w:rPr>
        <w:t>ąsia</w:t>
      </w:r>
      <w:r w:rsidRPr="00A42970">
        <w:rPr>
          <w:snapToGrid/>
          <w:szCs w:val="22"/>
          <w:lang w:val="lt-LT"/>
        </w:rPr>
        <w:t>s kapsul</w:t>
      </w:r>
      <w:r>
        <w:rPr>
          <w:snapToGrid/>
          <w:szCs w:val="22"/>
          <w:lang w:val="lt-LT"/>
        </w:rPr>
        <w:t>e</w:t>
      </w:r>
      <w:r w:rsidRPr="00A42970">
        <w:rPr>
          <w:snapToGrid/>
          <w:szCs w:val="22"/>
          <w:lang w:val="lt-LT"/>
        </w:rPr>
        <w:t>s</w:t>
      </w:r>
    </w:p>
    <w:p w14:paraId="57EAAC09" w14:textId="77777777" w:rsidR="0023644A" w:rsidRPr="0085618C" w:rsidRDefault="0023644A" w:rsidP="0023644A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6.</w:t>
      </w:r>
      <w:r w:rsidRPr="0085618C">
        <w:rPr>
          <w:snapToGrid/>
          <w:szCs w:val="22"/>
          <w:lang w:val="lt-LT"/>
        </w:rPr>
        <w:tab/>
      </w:r>
      <w:r w:rsidRPr="00B34FA1">
        <w:rPr>
          <w:noProof/>
          <w:szCs w:val="24"/>
          <w:lang w:val="lt-LT"/>
        </w:rPr>
        <w:t>Pakuotės turinys ir kita informacija</w:t>
      </w:r>
    </w:p>
    <w:p w14:paraId="60D6A8E3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61A0194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EBB60EF" w14:textId="77777777" w:rsidR="0023644A" w:rsidRPr="0085618C" w:rsidRDefault="0023644A" w:rsidP="0023644A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3" w:name="_Toc129243139"/>
      <w:bookmarkStart w:id="4" w:name="_Toc129243264"/>
      <w:r w:rsidRPr="0085618C">
        <w:rPr>
          <w:b/>
          <w:snapToGrid/>
          <w:szCs w:val="22"/>
          <w:lang w:val="lt-LT"/>
        </w:rPr>
        <w:t>1.</w:t>
      </w:r>
      <w:r w:rsidRPr="0085618C">
        <w:rPr>
          <w:b/>
          <w:snapToGrid/>
          <w:szCs w:val="22"/>
          <w:lang w:val="lt-LT"/>
        </w:rPr>
        <w:tab/>
      </w:r>
      <w:r w:rsidRPr="0059777C">
        <w:rPr>
          <w:b/>
          <w:snapToGrid/>
          <w:szCs w:val="22"/>
          <w:lang w:val="lt-LT"/>
        </w:rPr>
        <w:t>Kas yra POLYGYNAX</w:t>
      </w:r>
      <w:r w:rsidRPr="00A42970">
        <w:rPr>
          <w:snapToGrid/>
          <w:szCs w:val="22"/>
          <w:lang w:val="lt-LT"/>
        </w:rPr>
        <w:t xml:space="preserve"> </w:t>
      </w:r>
      <w:r w:rsidRPr="00A42970">
        <w:rPr>
          <w:b/>
          <w:snapToGrid/>
          <w:szCs w:val="22"/>
          <w:lang w:val="lt-LT"/>
        </w:rPr>
        <w:t>makšties minkšt</w:t>
      </w:r>
      <w:r>
        <w:rPr>
          <w:b/>
          <w:snapToGrid/>
          <w:szCs w:val="22"/>
          <w:lang w:val="lt-LT"/>
        </w:rPr>
        <w:t>o</w:t>
      </w:r>
      <w:r w:rsidRPr="00A42970">
        <w:rPr>
          <w:b/>
          <w:snapToGrid/>
          <w:szCs w:val="22"/>
          <w:lang w:val="lt-LT"/>
        </w:rPr>
        <w:t>si</w:t>
      </w:r>
      <w:r>
        <w:rPr>
          <w:b/>
          <w:snapToGrid/>
          <w:szCs w:val="22"/>
          <w:lang w:val="lt-LT"/>
        </w:rPr>
        <w:t>o</w:t>
      </w:r>
      <w:r w:rsidRPr="00A42970">
        <w:rPr>
          <w:b/>
          <w:snapToGrid/>
          <w:szCs w:val="22"/>
          <w:lang w:val="lt-LT"/>
        </w:rPr>
        <w:t>s kapsul</w:t>
      </w:r>
      <w:r>
        <w:rPr>
          <w:b/>
          <w:snapToGrid/>
          <w:szCs w:val="22"/>
          <w:lang w:val="lt-LT"/>
        </w:rPr>
        <w:t>ė</w:t>
      </w:r>
      <w:r w:rsidRPr="00A42970">
        <w:rPr>
          <w:b/>
          <w:snapToGrid/>
          <w:szCs w:val="22"/>
          <w:lang w:val="lt-LT"/>
        </w:rPr>
        <w:t>s</w:t>
      </w:r>
      <w:r w:rsidRPr="0059777C">
        <w:rPr>
          <w:b/>
          <w:snapToGrid/>
          <w:szCs w:val="22"/>
          <w:lang w:val="lt-LT"/>
        </w:rPr>
        <w:t xml:space="preserve"> ir kam j</w:t>
      </w:r>
      <w:r>
        <w:rPr>
          <w:b/>
          <w:snapToGrid/>
          <w:szCs w:val="22"/>
          <w:lang w:val="lt-LT"/>
        </w:rPr>
        <w:t>o</w:t>
      </w:r>
      <w:r w:rsidRPr="0059777C">
        <w:rPr>
          <w:b/>
          <w:snapToGrid/>
          <w:szCs w:val="22"/>
          <w:lang w:val="lt-LT"/>
        </w:rPr>
        <w:t>s vartojam</w:t>
      </w:r>
      <w:r>
        <w:rPr>
          <w:b/>
          <w:snapToGrid/>
          <w:szCs w:val="22"/>
          <w:lang w:val="lt-LT"/>
        </w:rPr>
        <w:t>o</w:t>
      </w:r>
      <w:r w:rsidRPr="0059777C">
        <w:rPr>
          <w:b/>
          <w:snapToGrid/>
          <w:szCs w:val="22"/>
          <w:lang w:val="lt-LT"/>
        </w:rPr>
        <w:t>s</w:t>
      </w:r>
      <w:bookmarkEnd w:id="3"/>
      <w:bookmarkEnd w:id="4"/>
    </w:p>
    <w:p w14:paraId="05828652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B67B4ED" w14:textId="77777777" w:rsidR="0023644A" w:rsidRDefault="0023644A" w:rsidP="0023644A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59777C">
        <w:rPr>
          <w:b/>
          <w:snapToGrid/>
          <w:szCs w:val="22"/>
          <w:lang w:val="lt-LT"/>
        </w:rPr>
        <w:t>Kas yra POLYGYNAX</w:t>
      </w:r>
      <w:r w:rsidRPr="00A42970">
        <w:rPr>
          <w:snapToGrid/>
          <w:szCs w:val="22"/>
          <w:lang w:val="lt-LT"/>
        </w:rPr>
        <w:t xml:space="preserve"> </w:t>
      </w:r>
      <w:r w:rsidRPr="00A42970">
        <w:rPr>
          <w:b/>
          <w:snapToGrid/>
          <w:szCs w:val="22"/>
          <w:lang w:val="lt-LT"/>
        </w:rPr>
        <w:t>makšties minkšt</w:t>
      </w:r>
      <w:r>
        <w:rPr>
          <w:b/>
          <w:snapToGrid/>
          <w:szCs w:val="22"/>
          <w:lang w:val="lt-LT"/>
        </w:rPr>
        <w:t>o</w:t>
      </w:r>
      <w:r w:rsidRPr="00A42970">
        <w:rPr>
          <w:b/>
          <w:snapToGrid/>
          <w:szCs w:val="22"/>
          <w:lang w:val="lt-LT"/>
        </w:rPr>
        <w:t>si</w:t>
      </w:r>
      <w:r>
        <w:rPr>
          <w:b/>
          <w:snapToGrid/>
          <w:szCs w:val="22"/>
          <w:lang w:val="lt-LT"/>
        </w:rPr>
        <w:t>o</w:t>
      </w:r>
      <w:r w:rsidRPr="00A42970">
        <w:rPr>
          <w:b/>
          <w:snapToGrid/>
          <w:szCs w:val="22"/>
          <w:lang w:val="lt-LT"/>
        </w:rPr>
        <w:t>s kapsul</w:t>
      </w:r>
      <w:r>
        <w:rPr>
          <w:b/>
          <w:snapToGrid/>
          <w:szCs w:val="22"/>
          <w:lang w:val="lt-LT"/>
        </w:rPr>
        <w:t>ė</w:t>
      </w:r>
      <w:r w:rsidRPr="00A42970">
        <w:rPr>
          <w:b/>
          <w:snapToGrid/>
          <w:szCs w:val="22"/>
          <w:lang w:val="lt-LT"/>
        </w:rPr>
        <w:t>s</w:t>
      </w:r>
      <w:r>
        <w:rPr>
          <w:b/>
          <w:snapToGrid/>
          <w:szCs w:val="22"/>
          <w:lang w:val="lt-LT"/>
        </w:rPr>
        <w:t>?</w:t>
      </w:r>
    </w:p>
    <w:p w14:paraId="5494F0B1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85618C">
        <w:rPr>
          <w:snapToGrid/>
          <w:szCs w:val="22"/>
          <w:lang w:val="lt-LT"/>
        </w:rPr>
        <w:t>Farmakoterapinė</w:t>
      </w:r>
      <w:proofErr w:type="spellEnd"/>
      <w:r w:rsidRPr="0085618C">
        <w:rPr>
          <w:snapToGrid/>
          <w:szCs w:val="22"/>
          <w:lang w:val="lt-LT"/>
        </w:rPr>
        <w:t xml:space="preserve"> grupė – </w:t>
      </w:r>
      <w:r>
        <w:rPr>
          <w:snapToGrid/>
          <w:szCs w:val="22"/>
          <w:lang w:val="lt-LT"/>
        </w:rPr>
        <w:t>lytinę ir šlapimo takų sistemą veikiantys vaistai bei lytiniai hormonai (</w:t>
      </w:r>
      <w:proofErr w:type="spellStart"/>
      <w:r w:rsidRPr="0085618C">
        <w:rPr>
          <w:snapToGrid/>
          <w:szCs w:val="22"/>
          <w:lang w:val="lt-LT"/>
        </w:rPr>
        <w:t>antiinfekciniai</w:t>
      </w:r>
      <w:proofErr w:type="spellEnd"/>
      <w:r w:rsidRPr="0085618C">
        <w:rPr>
          <w:snapToGrid/>
          <w:szCs w:val="22"/>
          <w:lang w:val="lt-LT"/>
        </w:rPr>
        <w:t xml:space="preserve"> ir antiseptiniai ginekologiniai </w:t>
      </w:r>
      <w:r>
        <w:rPr>
          <w:snapToGrid/>
          <w:szCs w:val="22"/>
          <w:lang w:val="lt-LT"/>
        </w:rPr>
        <w:t>vaistai, išskyrus derinius su kortikosteroidais</w:t>
      </w:r>
      <w:r w:rsidRPr="0085618C">
        <w:rPr>
          <w:snapToGrid/>
          <w:szCs w:val="22"/>
          <w:lang w:val="lt-LT"/>
        </w:rPr>
        <w:t>, antibiotikai</w:t>
      </w:r>
      <w:r>
        <w:rPr>
          <w:snapToGrid/>
          <w:szCs w:val="22"/>
          <w:lang w:val="lt-LT"/>
        </w:rPr>
        <w:t>)</w:t>
      </w:r>
      <w:r w:rsidRPr="0085618C">
        <w:rPr>
          <w:snapToGrid/>
          <w:szCs w:val="22"/>
          <w:lang w:val="lt-LT"/>
        </w:rPr>
        <w:t>, ATC kodas – G01AA51</w:t>
      </w:r>
      <w:r>
        <w:rPr>
          <w:snapToGrid/>
          <w:szCs w:val="22"/>
          <w:lang w:val="lt-LT"/>
        </w:rPr>
        <w:t>.</w:t>
      </w:r>
    </w:p>
    <w:p w14:paraId="70E2953B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Šis vaistas sukelia lokalų </w:t>
      </w:r>
      <w:proofErr w:type="spellStart"/>
      <w:r>
        <w:rPr>
          <w:snapToGrid/>
          <w:szCs w:val="22"/>
          <w:lang w:val="lt-LT"/>
        </w:rPr>
        <w:t>antiinfekcinį</w:t>
      </w:r>
      <w:proofErr w:type="spellEnd"/>
      <w:r>
        <w:rPr>
          <w:snapToGrid/>
          <w:szCs w:val="22"/>
          <w:lang w:val="lt-LT"/>
        </w:rPr>
        <w:t xml:space="preserve"> poveikį.</w:t>
      </w:r>
    </w:p>
    <w:p w14:paraId="3F83FDF5" w14:textId="77777777" w:rsidR="0023644A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caps/>
          <w:snapToGrid/>
          <w:szCs w:val="22"/>
          <w:lang w:val="lt-LT"/>
        </w:rPr>
        <w:t>Polygynax</w:t>
      </w:r>
      <w:r w:rsidRPr="0085618C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 xml:space="preserve">makšties minkštosiose kapsulėse </w:t>
      </w:r>
      <w:r w:rsidRPr="0085618C">
        <w:rPr>
          <w:snapToGrid/>
          <w:szCs w:val="22"/>
          <w:lang w:val="lt-LT"/>
        </w:rPr>
        <w:t>yra 3 veikliųjų medžiagų</w:t>
      </w:r>
      <w:r>
        <w:rPr>
          <w:snapToGrid/>
          <w:szCs w:val="22"/>
          <w:lang w:val="lt-LT"/>
        </w:rPr>
        <w:t xml:space="preserve"> derinys.</w:t>
      </w:r>
    </w:p>
    <w:p w14:paraId="45B26DDB" w14:textId="77777777" w:rsidR="0023644A" w:rsidRDefault="0023644A" w:rsidP="0023644A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Du antibiotikai:</w:t>
      </w:r>
    </w:p>
    <w:p w14:paraId="692D39D5" w14:textId="77777777" w:rsidR="0023644A" w:rsidRPr="0085618C" w:rsidRDefault="0023644A" w:rsidP="0023644A">
      <w:pPr>
        <w:numPr>
          <w:ilvl w:val="0"/>
          <w:numId w:val="2"/>
        </w:numPr>
        <w:tabs>
          <w:tab w:val="clear" w:pos="567"/>
        </w:tabs>
        <w:spacing w:line="240" w:lineRule="auto"/>
        <w:ind w:left="1134" w:hanging="567"/>
        <w:rPr>
          <w:snapToGrid/>
          <w:szCs w:val="22"/>
          <w:lang w:val="lt-LT"/>
        </w:rPr>
      </w:pPr>
      <w:proofErr w:type="spellStart"/>
      <w:r w:rsidRPr="0085618C">
        <w:rPr>
          <w:snapToGrid/>
          <w:szCs w:val="22"/>
          <w:lang w:val="lt-LT"/>
        </w:rPr>
        <w:t>Neomicinas</w:t>
      </w:r>
      <w:proofErr w:type="spellEnd"/>
      <w:r>
        <w:rPr>
          <w:snapToGrid/>
          <w:szCs w:val="22"/>
          <w:lang w:val="lt-LT"/>
        </w:rPr>
        <w:t xml:space="preserve">, kuris priklauso </w:t>
      </w:r>
      <w:proofErr w:type="spellStart"/>
      <w:r>
        <w:rPr>
          <w:snapToGrid/>
          <w:szCs w:val="22"/>
          <w:lang w:val="lt-LT"/>
        </w:rPr>
        <w:t>aminozidų</w:t>
      </w:r>
      <w:proofErr w:type="spellEnd"/>
      <w:r>
        <w:rPr>
          <w:snapToGrid/>
          <w:szCs w:val="22"/>
          <w:lang w:val="lt-LT"/>
        </w:rPr>
        <w:t xml:space="preserve"> grupei</w:t>
      </w:r>
      <w:r w:rsidRPr="0085618C">
        <w:rPr>
          <w:snapToGrid/>
          <w:szCs w:val="22"/>
          <w:lang w:val="lt-LT"/>
        </w:rPr>
        <w:t>.</w:t>
      </w:r>
    </w:p>
    <w:p w14:paraId="071080F7" w14:textId="77777777" w:rsidR="0023644A" w:rsidRDefault="0023644A" w:rsidP="0023644A">
      <w:pPr>
        <w:numPr>
          <w:ilvl w:val="0"/>
          <w:numId w:val="2"/>
        </w:numPr>
        <w:tabs>
          <w:tab w:val="clear" w:pos="567"/>
        </w:tabs>
        <w:spacing w:line="240" w:lineRule="auto"/>
        <w:ind w:left="1134" w:hanging="567"/>
        <w:rPr>
          <w:snapToGrid/>
          <w:szCs w:val="22"/>
          <w:lang w:val="lt-LT"/>
        </w:rPr>
      </w:pPr>
      <w:proofErr w:type="spellStart"/>
      <w:r w:rsidRPr="0085618C">
        <w:rPr>
          <w:snapToGrid/>
          <w:szCs w:val="22"/>
          <w:lang w:val="lt-LT"/>
        </w:rPr>
        <w:t>Polimiksinas</w:t>
      </w:r>
      <w:proofErr w:type="spellEnd"/>
      <w:r w:rsidRPr="0085618C">
        <w:rPr>
          <w:snapToGrid/>
          <w:szCs w:val="22"/>
          <w:lang w:val="lt-LT"/>
        </w:rPr>
        <w:t xml:space="preserve"> B</w:t>
      </w:r>
      <w:r>
        <w:rPr>
          <w:snapToGrid/>
          <w:szCs w:val="22"/>
          <w:lang w:val="lt-LT"/>
        </w:rPr>
        <w:t>,</w:t>
      </w:r>
      <w:r w:rsidRPr="0085618C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 xml:space="preserve">kuris priklauso </w:t>
      </w:r>
      <w:proofErr w:type="spellStart"/>
      <w:r w:rsidRPr="0085618C">
        <w:rPr>
          <w:snapToGrid/>
          <w:szCs w:val="22"/>
          <w:lang w:val="lt-LT"/>
        </w:rPr>
        <w:t>polipeptidų</w:t>
      </w:r>
      <w:proofErr w:type="spellEnd"/>
      <w:r w:rsidRPr="0085618C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grupei</w:t>
      </w:r>
      <w:r w:rsidRPr="0085618C">
        <w:rPr>
          <w:snapToGrid/>
          <w:szCs w:val="22"/>
          <w:lang w:val="lt-LT"/>
        </w:rPr>
        <w:t>.</w:t>
      </w:r>
    </w:p>
    <w:p w14:paraId="1F303C61" w14:textId="77777777" w:rsidR="0023644A" w:rsidRPr="0085618C" w:rsidRDefault="0023644A" w:rsidP="0023644A">
      <w:pPr>
        <w:tabs>
          <w:tab w:val="clear" w:pos="567"/>
        </w:tabs>
        <w:spacing w:line="240" w:lineRule="auto"/>
        <w:ind w:left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Jie kovoja su bakterijų sukelta infekcija.</w:t>
      </w:r>
    </w:p>
    <w:p w14:paraId="18891501" w14:textId="77777777" w:rsidR="0023644A" w:rsidRPr="0085618C" w:rsidRDefault="0023644A" w:rsidP="0023644A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 w:rsidRPr="0085618C">
        <w:rPr>
          <w:snapToGrid/>
          <w:szCs w:val="22"/>
          <w:lang w:val="lt-LT"/>
        </w:rPr>
        <w:t>Nistatinas</w:t>
      </w:r>
      <w:proofErr w:type="spellEnd"/>
      <w:r w:rsidRPr="0085618C">
        <w:rPr>
          <w:snapToGrid/>
          <w:szCs w:val="22"/>
          <w:lang w:val="lt-LT"/>
        </w:rPr>
        <w:t xml:space="preserve"> yra </w:t>
      </w:r>
      <w:r>
        <w:rPr>
          <w:snapToGrid/>
          <w:szCs w:val="22"/>
          <w:lang w:val="lt-LT"/>
        </w:rPr>
        <w:t>priešgrybelinė medžiaga</w:t>
      </w:r>
      <w:r w:rsidRPr="0085618C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 xml:space="preserve">priklausanti </w:t>
      </w:r>
      <w:proofErr w:type="spellStart"/>
      <w:r>
        <w:rPr>
          <w:snapToGrid/>
          <w:szCs w:val="22"/>
          <w:lang w:val="lt-LT"/>
        </w:rPr>
        <w:t>polienų</w:t>
      </w:r>
      <w:proofErr w:type="spellEnd"/>
      <w:r>
        <w:rPr>
          <w:snapToGrid/>
          <w:szCs w:val="22"/>
          <w:lang w:val="lt-LT"/>
        </w:rPr>
        <w:t xml:space="preserve"> grupei</w:t>
      </w:r>
      <w:r w:rsidRPr="0085618C">
        <w:rPr>
          <w:snapToGrid/>
          <w:szCs w:val="22"/>
          <w:lang w:val="lt-LT"/>
        </w:rPr>
        <w:t>.</w:t>
      </w:r>
      <w:r>
        <w:rPr>
          <w:snapToGrid/>
          <w:szCs w:val="22"/>
          <w:lang w:val="lt-LT"/>
        </w:rPr>
        <w:t xml:space="preserve"> Ji naikina kai kuriuos mikroskopinius grybelius arba blokuoja jų dauginimąsi.</w:t>
      </w:r>
    </w:p>
    <w:p w14:paraId="5DF790F1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7D80559F" w14:textId="77777777" w:rsidR="0023644A" w:rsidRDefault="0023644A" w:rsidP="0023644A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59777C">
        <w:rPr>
          <w:b/>
          <w:snapToGrid/>
          <w:szCs w:val="22"/>
          <w:lang w:val="lt-LT"/>
        </w:rPr>
        <w:t>Ka</w:t>
      </w:r>
      <w:r>
        <w:rPr>
          <w:b/>
          <w:snapToGrid/>
          <w:szCs w:val="22"/>
          <w:lang w:val="lt-LT"/>
        </w:rPr>
        <w:t>m</w:t>
      </w:r>
      <w:r w:rsidRPr="0059777C">
        <w:rPr>
          <w:b/>
          <w:snapToGrid/>
          <w:szCs w:val="22"/>
          <w:lang w:val="lt-LT"/>
        </w:rPr>
        <w:t xml:space="preserve"> j</w:t>
      </w:r>
      <w:r>
        <w:rPr>
          <w:b/>
          <w:snapToGrid/>
          <w:szCs w:val="22"/>
          <w:lang w:val="lt-LT"/>
        </w:rPr>
        <w:t>o</w:t>
      </w:r>
      <w:r w:rsidRPr="0059777C">
        <w:rPr>
          <w:b/>
          <w:snapToGrid/>
          <w:szCs w:val="22"/>
          <w:lang w:val="lt-LT"/>
        </w:rPr>
        <w:t>s vartojam</w:t>
      </w:r>
      <w:r>
        <w:rPr>
          <w:b/>
          <w:snapToGrid/>
          <w:szCs w:val="22"/>
          <w:lang w:val="lt-LT"/>
        </w:rPr>
        <w:t>o</w:t>
      </w:r>
      <w:r w:rsidRPr="0059777C">
        <w:rPr>
          <w:b/>
          <w:snapToGrid/>
          <w:szCs w:val="22"/>
          <w:lang w:val="lt-LT"/>
        </w:rPr>
        <w:t>s</w:t>
      </w:r>
      <w:r>
        <w:rPr>
          <w:b/>
          <w:snapToGrid/>
          <w:szCs w:val="22"/>
          <w:lang w:val="lt-LT"/>
        </w:rPr>
        <w:t>?</w:t>
      </w:r>
    </w:p>
    <w:p w14:paraId="3F61C06E" w14:textId="77777777" w:rsidR="0023644A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Šis vaistas yra skirtas lokaliam makšties infekcijos (bakterinio, grybelinio (įskaitant </w:t>
      </w:r>
      <w:proofErr w:type="spellStart"/>
      <w:r w:rsidRPr="00635F7B">
        <w:rPr>
          <w:i/>
          <w:iCs/>
          <w:snapToGrid/>
          <w:szCs w:val="22"/>
          <w:lang w:val="lt-LT" w:eastAsia="lt-LT"/>
        </w:rPr>
        <w:t>Candida</w:t>
      </w:r>
      <w:proofErr w:type="spellEnd"/>
      <w:r w:rsidRPr="00635F7B">
        <w:rPr>
          <w:i/>
          <w:iCs/>
          <w:snapToGrid/>
          <w:szCs w:val="22"/>
          <w:lang w:val="lt-LT" w:eastAsia="lt-LT"/>
        </w:rPr>
        <w:t xml:space="preserve"> </w:t>
      </w:r>
      <w:proofErr w:type="spellStart"/>
      <w:r w:rsidRPr="00635F7B">
        <w:rPr>
          <w:i/>
          <w:iCs/>
          <w:snapToGrid/>
          <w:szCs w:val="22"/>
          <w:lang w:val="lt-LT" w:eastAsia="lt-LT"/>
        </w:rPr>
        <w:t>albicans</w:t>
      </w:r>
      <w:proofErr w:type="spellEnd"/>
      <w:r>
        <w:rPr>
          <w:snapToGrid/>
          <w:szCs w:val="22"/>
          <w:lang w:val="lt-LT" w:eastAsia="lt-LT"/>
        </w:rPr>
        <w:t xml:space="preserve"> ir </w:t>
      </w:r>
      <w:proofErr w:type="spellStart"/>
      <w:r>
        <w:rPr>
          <w:snapToGrid/>
          <w:szCs w:val="22"/>
          <w:lang w:val="lt-LT" w:eastAsia="lt-LT"/>
        </w:rPr>
        <w:t>non</w:t>
      </w:r>
      <w:proofErr w:type="spellEnd"/>
      <w:r>
        <w:rPr>
          <w:snapToGrid/>
          <w:szCs w:val="22"/>
          <w:lang w:val="lt-LT" w:eastAsia="lt-LT"/>
        </w:rPr>
        <w:t xml:space="preserve"> </w:t>
      </w:r>
      <w:proofErr w:type="spellStart"/>
      <w:r w:rsidRPr="00635F7B">
        <w:rPr>
          <w:i/>
          <w:iCs/>
          <w:snapToGrid/>
          <w:szCs w:val="22"/>
          <w:lang w:val="lt-LT" w:eastAsia="lt-LT"/>
        </w:rPr>
        <w:t>albicans</w:t>
      </w:r>
      <w:proofErr w:type="spellEnd"/>
      <w:r>
        <w:rPr>
          <w:snapToGrid/>
          <w:szCs w:val="22"/>
          <w:lang w:val="lt-LT" w:eastAsia="lt-LT"/>
        </w:rPr>
        <w:t xml:space="preserve"> sukėlėjus), mišraus vaginito ir bakterinės </w:t>
      </w:r>
      <w:proofErr w:type="spellStart"/>
      <w:r>
        <w:rPr>
          <w:snapToGrid/>
          <w:szCs w:val="22"/>
          <w:lang w:val="lt-LT" w:eastAsia="lt-LT"/>
        </w:rPr>
        <w:t>vaginozės</w:t>
      </w:r>
      <w:proofErr w:type="spellEnd"/>
      <w:r>
        <w:rPr>
          <w:snapToGrid/>
          <w:szCs w:val="22"/>
          <w:lang w:val="lt-LT" w:eastAsia="lt-LT"/>
        </w:rPr>
        <w:t>) gydymui, jei jo sukėlėjai yra jautrūs vaisto sudėtyje esančių veikliųjų medžiagų (</w:t>
      </w:r>
      <w:proofErr w:type="spellStart"/>
      <w:r>
        <w:rPr>
          <w:snapToGrid/>
          <w:szCs w:val="22"/>
          <w:lang w:val="lt-LT" w:eastAsia="lt-LT"/>
        </w:rPr>
        <w:t>neomicino</w:t>
      </w:r>
      <w:proofErr w:type="spellEnd"/>
      <w:r>
        <w:rPr>
          <w:snapToGrid/>
          <w:szCs w:val="22"/>
          <w:lang w:val="lt-LT" w:eastAsia="lt-LT"/>
        </w:rPr>
        <w:t xml:space="preserve">, </w:t>
      </w:r>
      <w:proofErr w:type="spellStart"/>
      <w:r>
        <w:rPr>
          <w:snapToGrid/>
          <w:szCs w:val="22"/>
          <w:lang w:val="lt-LT" w:eastAsia="lt-LT"/>
        </w:rPr>
        <w:t>polimiksino</w:t>
      </w:r>
      <w:proofErr w:type="spellEnd"/>
      <w:r>
        <w:rPr>
          <w:snapToGrid/>
          <w:szCs w:val="22"/>
          <w:lang w:val="lt-LT" w:eastAsia="lt-LT"/>
        </w:rPr>
        <w:t xml:space="preserve"> B ir </w:t>
      </w:r>
      <w:proofErr w:type="spellStart"/>
      <w:r>
        <w:rPr>
          <w:snapToGrid/>
          <w:szCs w:val="22"/>
          <w:lang w:val="lt-LT" w:eastAsia="lt-LT"/>
        </w:rPr>
        <w:t>nistatino</w:t>
      </w:r>
      <w:proofErr w:type="spellEnd"/>
      <w:r>
        <w:rPr>
          <w:snapToGrid/>
          <w:szCs w:val="22"/>
          <w:lang w:val="lt-LT" w:eastAsia="lt-LT"/>
        </w:rPr>
        <w:t>) poveikiui.</w:t>
      </w:r>
    </w:p>
    <w:p w14:paraId="2420059E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Šis vaistas yra skirtas vartoti tik suaugusioms pacientėms.</w:t>
      </w:r>
    </w:p>
    <w:p w14:paraId="7B844713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CA7AB73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76924E1" w14:textId="77777777" w:rsidR="0023644A" w:rsidRPr="0085618C" w:rsidRDefault="0023644A" w:rsidP="0023644A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5" w:name="_Toc129243140"/>
      <w:bookmarkStart w:id="6" w:name="_Toc129243265"/>
      <w:r w:rsidRPr="0085618C">
        <w:rPr>
          <w:b/>
          <w:snapToGrid/>
          <w:szCs w:val="22"/>
          <w:lang w:val="lt-LT"/>
        </w:rPr>
        <w:t>2.</w:t>
      </w:r>
      <w:r w:rsidRPr="0085618C">
        <w:rPr>
          <w:b/>
          <w:snapToGrid/>
          <w:szCs w:val="22"/>
          <w:lang w:val="lt-LT"/>
        </w:rPr>
        <w:tab/>
      </w:r>
      <w:r w:rsidRPr="0059777C">
        <w:rPr>
          <w:b/>
          <w:snapToGrid/>
          <w:szCs w:val="22"/>
          <w:lang w:val="lt-LT"/>
        </w:rPr>
        <w:t>Kas žinotina prieš vartojant POLYGYNAX</w:t>
      </w:r>
      <w:bookmarkEnd w:id="5"/>
      <w:bookmarkEnd w:id="6"/>
      <w:r w:rsidRPr="00A42970">
        <w:rPr>
          <w:snapToGrid/>
          <w:szCs w:val="22"/>
          <w:lang w:val="lt-LT"/>
        </w:rPr>
        <w:t xml:space="preserve"> </w:t>
      </w:r>
      <w:r w:rsidRPr="00A42970">
        <w:rPr>
          <w:b/>
          <w:snapToGrid/>
          <w:szCs w:val="22"/>
          <w:lang w:val="lt-LT"/>
        </w:rPr>
        <w:t>makšties minkštąsias kapsules</w:t>
      </w:r>
    </w:p>
    <w:p w14:paraId="47B8BE3B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566A5E4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85618C">
        <w:rPr>
          <w:b/>
          <w:bCs/>
          <w:snapToGrid/>
          <w:szCs w:val="22"/>
          <w:lang w:val="lt-LT"/>
        </w:rPr>
        <w:t xml:space="preserve">POLYGYNAX </w:t>
      </w:r>
      <w:proofErr w:type="spellStart"/>
      <w:r w:rsidRPr="00B17C52">
        <w:rPr>
          <w:b/>
          <w:bCs/>
          <w:snapToGrid/>
          <w:szCs w:val="22"/>
          <w:lang w:val="en-US"/>
        </w:rPr>
        <w:t>vartoti</w:t>
      </w:r>
      <w:proofErr w:type="spellEnd"/>
      <w:r w:rsidRPr="00B17C52">
        <w:rPr>
          <w:b/>
          <w:bCs/>
          <w:snapToGrid/>
          <w:szCs w:val="22"/>
          <w:lang w:val="en-US"/>
        </w:rPr>
        <w:t xml:space="preserve"> </w:t>
      </w:r>
      <w:proofErr w:type="spellStart"/>
      <w:r w:rsidRPr="00B17C52">
        <w:rPr>
          <w:b/>
          <w:bCs/>
          <w:snapToGrid/>
          <w:szCs w:val="22"/>
          <w:lang w:val="en-US"/>
        </w:rPr>
        <w:t>draudžiama</w:t>
      </w:r>
      <w:proofErr w:type="spellEnd"/>
      <w:r w:rsidRPr="0085618C">
        <w:rPr>
          <w:b/>
          <w:bCs/>
          <w:snapToGrid/>
          <w:szCs w:val="22"/>
          <w:lang w:val="lt-LT"/>
        </w:rPr>
        <w:t>:</w:t>
      </w:r>
    </w:p>
    <w:p w14:paraId="1DF6E81C" w14:textId="77777777" w:rsidR="0023644A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jeigu yra alergija </w:t>
      </w:r>
      <w:r>
        <w:rPr>
          <w:snapToGrid/>
          <w:szCs w:val="22"/>
          <w:lang w:val="lt-LT"/>
        </w:rPr>
        <w:t>(padidėjęs jautrumas) veikliosioms medžiagoms (</w:t>
      </w:r>
      <w:proofErr w:type="spellStart"/>
      <w:r>
        <w:rPr>
          <w:snapToGrid/>
          <w:szCs w:val="22"/>
          <w:lang w:val="lt-LT"/>
        </w:rPr>
        <w:t>neomicinui</w:t>
      </w:r>
      <w:proofErr w:type="spellEnd"/>
      <w:r>
        <w:rPr>
          <w:snapToGrid/>
          <w:szCs w:val="22"/>
          <w:lang w:val="lt-LT"/>
        </w:rPr>
        <w:t xml:space="preserve">, </w:t>
      </w:r>
      <w:proofErr w:type="spellStart"/>
      <w:r>
        <w:rPr>
          <w:snapToGrid/>
          <w:szCs w:val="22"/>
          <w:lang w:val="lt-LT"/>
        </w:rPr>
        <w:t>polimiksinui</w:t>
      </w:r>
      <w:proofErr w:type="spellEnd"/>
      <w:r>
        <w:rPr>
          <w:snapToGrid/>
          <w:szCs w:val="22"/>
          <w:lang w:val="lt-LT"/>
        </w:rPr>
        <w:t xml:space="preserve"> B ar </w:t>
      </w:r>
      <w:proofErr w:type="spellStart"/>
      <w:r>
        <w:rPr>
          <w:snapToGrid/>
          <w:szCs w:val="22"/>
          <w:lang w:val="lt-LT"/>
        </w:rPr>
        <w:t>nistatinui</w:t>
      </w:r>
      <w:proofErr w:type="spellEnd"/>
      <w:r>
        <w:rPr>
          <w:snapToGrid/>
          <w:szCs w:val="22"/>
          <w:lang w:val="lt-LT"/>
        </w:rPr>
        <w:t xml:space="preserve">) </w:t>
      </w:r>
      <w:r w:rsidRPr="0085618C">
        <w:rPr>
          <w:snapToGrid/>
          <w:szCs w:val="22"/>
          <w:lang w:val="lt-LT"/>
        </w:rPr>
        <w:t xml:space="preserve">arba bet kuriai pagalbinei </w:t>
      </w:r>
      <w:r w:rsidRPr="00D07B44">
        <w:rPr>
          <w:snapToGrid/>
          <w:szCs w:val="22"/>
          <w:lang w:val="lt-LT"/>
        </w:rPr>
        <w:t>šio vaisto medžiagai (jos išvardytos 6 skyriuje)</w:t>
      </w:r>
      <w:r>
        <w:rPr>
          <w:snapToGrid/>
          <w:szCs w:val="22"/>
          <w:lang w:val="lt-LT"/>
        </w:rPr>
        <w:t>;</w:t>
      </w:r>
    </w:p>
    <w:p w14:paraId="24332A34" w14:textId="77777777" w:rsidR="0023644A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9389F">
        <w:rPr>
          <w:snapToGrid/>
          <w:szCs w:val="22"/>
          <w:lang w:val="lt-LT"/>
        </w:rPr>
        <w:t xml:space="preserve">jeigu yra alergija (padidėjęs jautrumas) </w:t>
      </w:r>
      <w:r>
        <w:rPr>
          <w:snapToGrid/>
          <w:szCs w:val="22"/>
          <w:lang w:val="lt-LT"/>
        </w:rPr>
        <w:t xml:space="preserve">vaistams, priklausantiems taip pačiai grupei kaip ir </w:t>
      </w:r>
      <w:proofErr w:type="spellStart"/>
      <w:r>
        <w:rPr>
          <w:snapToGrid/>
          <w:szCs w:val="22"/>
          <w:lang w:val="lt-LT"/>
        </w:rPr>
        <w:t>neomicinas</w:t>
      </w:r>
      <w:proofErr w:type="spellEnd"/>
      <w:r>
        <w:rPr>
          <w:snapToGrid/>
          <w:szCs w:val="22"/>
          <w:lang w:val="lt-LT"/>
        </w:rPr>
        <w:t xml:space="preserve"> (</w:t>
      </w:r>
      <w:proofErr w:type="spellStart"/>
      <w:r>
        <w:rPr>
          <w:snapToGrid/>
          <w:szCs w:val="22"/>
          <w:lang w:val="lt-LT"/>
        </w:rPr>
        <w:t>aminozidai</w:t>
      </w:r>
      <w:proofErr w:type="spellEnd"/>
      <w:r>
        <w:rPr>
          <w:snapToGrid/>
          <w:szCs w:val="22"/>
          <w:lang w:val="lt-LT"/>
        </w:rPr>
        <w:t xml:space="preserve">), </w:t>
      </w:r>
      <w:proofErr w:type="spellStart"/>
      <w:r>
        <w:rPr>
          <w:snapToGrid/>
          <w:szCs w:val="22"/>
          <w:lang w:val="lt-LT"/>
        </w:rPr>
        <w:t>polimiksinas</w:t>
      </w:r>
      <w:proofErr w:type="spellEnd"/>
      <w:r>
        <w:rPr>
          <w:snapToGrid/>
          <w:szCs w:val="22"/>
          <w:lang w:val="lt-LT"/>
        </w:rPr>
        <w:t xml:space="preserve"> B (</w:t>
      </w:r>
      <w:proofErr w:type="spellStart"/>
      <w:r>
        <w:rPr>
          <w:snapToGrid/>
          <w:szCs w:val="22"/>
          <w:lang w:val="lt-LT"/>
        </w:rPr>
        <w:t>polipeptidai</w:t>
      </w:r>
      <w:proofErr w:type="spellEnd"/>
      <w:r>
        <w:rPr>
          <w:snapToGrid/>
          <w:szCs w:val="22"/>
          <w:lang w:val="lt-LT"/>
        </w:rPr>
        <w:t xml:space="preserve">) ar </w:t>
      </w:r>
      <w:proofErr w:type="spellStart"/>
      <w:r>
        <w:rPr>
          <w:snapToGrid/>
          <w:szCs w:val="22"/>
          <w:lang w:val="lt-LT"/>
        </w:rPr>
        <w:t>nistatinas</w:t>
      </w:r>
      <w:proofErr w:type="spellEnd"/>
      <w:r>
        <w:rPr>
          <w:snapToGrid/>
          <w:szCs w:val="22"/>
          <w:lang w:val="lt-LT"/>
        </w:rPr>
        <w:t xml:space="preserve"> (</w:t>
      </w:r>
      <w:proofErr w:type="spellStart"/>
      <w:r>
        <w:rPr>
          <w:snapToGrid/>
          <w:szCs w:val="22"/>
          <w:lang w:val="lt-LT"/>
        </w:rPr>
        <w:t>polienai</w:t>
      </w:r>
      <w:proofErr w:type="spellEnd"/>
      <w:r>
        <w:rPr>
          <w:snapToGrid/>
          <w:szCs w:val="22"/>
          <w:lang w:val="lt-LT"/>
        </w:rPr>
        <w:t>);</w:t>
      </w:r>
    </w:p>
    <w:p w14:paraId="59E6D0ED" w14:textId="77777777" w:rsidR="0023644A" w:rsidRPr="0049389F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9389F">
        <w:rPr>
          <w:snapToGrid/>
          <w:szCs w:val="22"/>
          <w:lang w:val="lt-LT"/>
        </w:rPr>
        <w:t>jeigu yra alergija (padidėjęs jautrumas) žemės riešutams arba sojai (</w:t>
      </w:r>
      <w:r>
        <w:rPr>
          <w:snapToGrid/>
          <w:szCs w:val="22"/>
          <w:lang w:val="lt-LT"/>
        </w:rPr>
        <w:t xml:space="preserve">nes šio vaisto </w:t>
      </w:r>
      <w:r w:rsidRPr="0049389F">
        <w:rPr>
          <w:snapToGrid/>
          <w:szCs w:val="22"/>
          <w:lang w:val="lt-LT"/>
        </w:rPr>
        <w:t>sudėtyje yra sojų aliejaus)</w:t>
      </w:r>
      <w:r>
        <w:rPr>
          <w:snapToGrid/>
          <w:szCs w:val="22"/>
          <w:lang w:val="lt-LT"/>
        </w:rPr>
        <w:t>;</w:t>
      </w:r>
    </w:p>
    <w:p w14:paraId="06E9EB3E" w14:textId="77777777" w:rsidR="0023644A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jeigu naudojama</w:t>
      </w:r>
      <w:r w:rsidRPr="0085618C">
        <w:rPr>
          <w:snapToGrid/>
          <w:szCs w:val="22"/>
          <w:lang w:val="lt-LT"/>
        </w:rPr>
        <w:t xml:space="preserve"> diafragm</w:t>
      </w:r>
      <w:r>
        <w:rPr>
          <w:snapToGrid/>
          <w:szCs w:val="22"/>
          <w:lang w:val="lt-LT"/>
        </w:rPr>
        <w:t>a, poliuretano vyriškas prezervatyvas ar</w:t>
      </w:r>
      <w:r w:rsidRPr="0085618C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moteriškas</w:t>
      </w:r>
      <w:r w:rsidRPr="0085618C">
        <w:rPr>
          <w:snapToGrid/>
          <w:szCs w:val="22"/>
          <w:lang w:val="lt-LT"/>
        </w:rPr>
        <w:t xml:space="preserve"> prezervatyva</w:t>
      </w:r>
      <w:r>
        <w:rPr>
          <w:snapToGrid/>
          <w:szCs w:val="22"/>
          <w:lang w:val="lt-LT"/>
        </w:rPr>
        <w:t>s.</w:t>
      </w:r>
    </w:p>
    <w:p w14:paraId="56F26684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lastRenderedPageBreak/>
        <w:t xml:space="preserve">Šio vaisto paprastai nerekomenduojama vartoti kartu su </w:t>
      </w:r>
      <w:proofErr w:type="spellStart"/>
      <w:r>
        <w:rPr>
          <w:snapToGrid/>
          <w:szCs w:val="22"/>
          <w:lang w:val="lt-LT"/>
        </w:rPr>
        <w:t>spermicidais</w:t>
      </w:r>
      <w:proofErr w:type="spellEnd"/>
      <w:r>
        <w:rPr>
          <w:snapToGrid/>
          <w:szCs w:val="22"/>
          <w:lang w:val="lt-LT"/>
        </w:rPr>
        <w:t xml:space="preserve"> (lokalaus poveikio kontraceptikais), kadangi tikėtina, jog </w:t>
      </w:r>
      <w:proofErr w:type="spellStart"/>
      <w:r>
        <w:rPr>
          <w:snapToGrid/>
          <w:szCs w:val="22"/>
          <w:lang w:val="lt-LT"/>
        </w:rPr>
        <w:t>spermicidas</w:t>
      </w:r>
      <w:proofErr w:type="spellEnd"/>
      <w:r>
        <w:rPr>
          <w:snapToGrid/>
          <w:szCs w:val="22"/>
          <w:lang w:val="lt-LT"/>
        </w:rPr>
        <w:t xml:space="preserve"> taps neveiksmingas</w:t>
      </w:r>
      <w:r w:rsidRPr="0085618C">
        <w:rPr>
          <w:snapToGrid/>
          <w:szCs w:val="22"/>
          <w:lang w:val="lt-LT"/>
        </w:rPr>
        <w:t>.</w:t>
      </w:r>
    </w:p>
    <w:p w14:paraId="2C53AA40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0B719FE" w14:textId="77777777" w:rsidR="0023644A" w:rsidRPr="006D0A0B" w:rsidRDefault="0023644A" w:rsidP="0023644A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r w:rsidRPr="006D0A0B">
        <w:rPr>
          <w:b/>
          <w:bCs/>
          <w:szCs w:val="28"/>
          <w:lang w:val="lt-LT" w:eastAsia="x-none"/>
        </w:rPr>
        <w:t xml:space="preserve">Įspėjimai ir atsargumo priemonės </w:t>
      </w:r>
    </w:p>
    <w:p w14:paraId="2B6CD65A" w14:textId="77777777" w:rsidR="0023644A" w:rsidRPr="006D0A0B" w:rsidRDefault="0023644A" w:rsidP="002364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noProof/>
          <w:szCs w:val="24"/>
          <w:lang w:val="lt-LT"/>
        </w:rPr>
        <w:t xml:space="preserve">Pasitarkite su gydytoju </w:t>
      </w:r>
      <w:r w:rsidRPr="006D0A0B">
        <w:rPr>
          <w:noProof/>
          <w:szCs w:val="24"/>
          <w:lang w:val="lt-LT"/>
        </w:rPr>
        <w:t>arba</w:t>
      </w:r>
      <w:r>
        <w:rPr>
          <w:noProof/>
          <w:szCs w:val="24"/>
          <w:lang w:val="lt-LT"/>
        </w:rPr>
        <w:t xml:space="preserve"> </w:t>
      </w:r>
      <w:r w:rsidRPr="006D0A0B">
        <w:rPr>
          <w:noProof/>
          <w:szCs w:val="24"/>
          <w:lang w:val="lt-LT"/>
        </w:rPr>
        <w:t>vaistininku, prieš pradėdam</w:t>
      </w:r>
      <w:r>
        <w:rPr>
          <w:noProof/>
          <w:szCs w:val="24"/>
          <w:lang w:val="lt-LT"/>
        </w:rPr>
        <w:t>a</w:t>
      </w:r>
      <w:r w:rsidRPr="006D0A0B">
        <w:rPr>
          <w:noProof/>
          <w:szCs w:val="24"/>
          <w:lang w:val="lt-LT"/>
        </w:rPr>
        <w:t xml:space="preserve"> vartoti </w:t>
      </w:r>
      <w:r w:rsidRPr="00DA5016">
        <w:rPr>
          <w:noProof/>
          <w:szCs w:val="24"/>
          <w:lang w:val="lt-LT"/>
        </w:rPr>
        <w:t>POLYGYNAX</w:t>
      </w:r>
      <w:r w:rsidRPr="00520196">
        <w:rPr>
          <w:lang w:val="lt-LT"/>
        </w:rPr>
        <w:t xml:space="preserve"> </w:t>
      </w:r>
      <w:r w:rsidRPr="00BE714D">
        <w:rPr>
          <w:noProof/>
          <w:szCs w:val="24"/>
          <w:lang w:val="lt-LT"/>
        </w:rPr>
        <w:t>makšties minkštąsias kapsules</w:t>
      </w:r>
      <w:r w:rsidRPr="006D0A0B">
        <w:rPr>
          <w:noProof/>
          <w:szCs w:val="24"/>
          <w:lang w:val="lt-LT"/>
        </w:rPr>
        <w:t>.</w:t>
      </w:r>
    </w:p>
    <w:p w14:paraId="09681390" w14:textId="77777777" w:rsidR="0023644A" w:rsidRPr="006D0A0B" w:rsidRDefault="0023644A" w:rsidP="002364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8C33F1F" w14:textId="77777777" w:rsidR="0023644A" w:rsidRPr="0085618C" w:rsidRDefault="0023644A" w:rsidP="0023644A">
      <w:pPr>
        <w:shd w:val="clear" w:color="auto" w:fill="FFFFFF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color w:val="000000"/>
          <w:szCs w:val="22"/>
          <w:lang w:val="lt-LT"/>
        </w:rPr>
        <w:t>Ilgiau, negu nurodė gydytojas, vaisto vartoti negalima.</w:t>
      </w:r>
    </w:p>
    <w:p w14:paraId="755970DC" w14:textId="77777777" w:rsidR="0023644A" w:rsidRPr="0085618C" w:rsidRDefault="0023644A" w:rsidP="0023644A">
      <w:pPr>
        <w:shd w:val="clear" w:color="auto" w:fill="FFFFFF"/>
        <w:tabs>
          <w:tab w:val="clear" w:pos="567"/>
        </w:tabs>
        <w:spacing w:line="240" w:lineRule="auto"/>
        <w:rPr>
          <w:snapToGrid/>
          <w:color w:val="000000"/>
          <w:szCs w:val="22"/>
          <w:u w:val="single"/>
          <w:lang w:val="lt-LT"/>
        </w:rPr>
      </w:pPr>
    </w:p>
    <w:p w14:paraId="034B97A5" w14:textId="77777777" w:rsidR="0023644A" w:rsidRPr="0085618C" w:rsidRDefault="0023644A" w:rsidP="0023644A">
      <w:pPr>
        <w:shd w:val="clear" w:color="auto" w:fill="FFFFFF"/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>Nedelsdama nutraukite gydymą ir kreipkitės į gydytoją</w:t>
      </w:r>
      <w:r w:rsidRPr="0085618C">
        <w:rPr>
          <w:snapToGrid/>
          <w:color w:val="000000"/>
          <w:szCs w:val="22"/>
          <w:lang w:val="lt-LT"/>
        </w:rPr>
        <w:t xml:space="preserve"> pasireiškus alerginei reakcijai arba kitokių vietinio netoleravimo požymių</w:t>
      </w:r>
      <w:r>
        <w:rPr>
          <w:snapToGrid/>
          <w:color w:val="000000"/>
          <w:szCs w:val="22"/>
          <w:lang w:val="lt-LT"/>
        </w:rPr>
        <w:t xml:space="preserve"> (žr. 4 skyrių)</w:t>
      </w:r>
      <w:r w:rsidRPr="0085618C">
        <w:rPr>
          <w:snapToGrid/>
          <w:color w:val="000000"/>
          <w:szCs w:val="22"/>
          <w:lang w:val="lt-LT"/>
        </w:rPr>
        <w:t xml:space="preserve">. Jei šis vietinio poveikio </w:t>
      </w:r>
      <w:r>
        <w:rPr>
          <w:snapToGrid/>
          <w:color w:val="000000"/>
          <w:szCs w:val="22"/>
          <w:lang w:val="lt-LT"/>
        </w:rPr>
        <w:t>vaistas</w:t>
      </w:r>
      <w:r w:rsidRPr="0085618C">
        <w:rPr>
          <w:snapToGrid/>
          <w:color w:val="000000"/>
          <w:szCs w:val="22"/>
          <w:lang w:val="lt-LT"/>
        </w:rPr>
        <w:t xml:space="preserve"> sukelia </w:t>
      </w:r>
      <w:r>
        <w:rPr>
          <w:snapToGrid/>
          <w:color w:val="000000"/>
          <w:szCs w:val="22"/>
          <w:lang w:val="lt-LT"/>
        </w:rPr>
        <w:t>alerginę</w:t>
      </w:r>
      <w:r w:rsidRPr="0085618C">
        <w:rPr>
          <w:snapToGrid/>
          <w:color w:val="000000"/>
          <w:szCs w:val="22"/>
          <w:lang w:val="lt-LT"/>
        </w:rPr>
        <w:t xml:space="preserve"> reakciją, vėl</w:t>
      </w:r>
      <w:r>
        <w:rPr>
          <w:snapToGrid/>
          <w:color w:val="000000"/>
          <w:szCs w:val="22"/>
          <w:lang w:val="lt-LT"/>
        </w:rPr>
        <w:t>esnis</w:t>
      </w:r>
      <w:r w:rsidRPr="0085618C">
        <w:rPr>
          <w:snapToGrid/>
          <w:color w:val="000000"/>
          <w:szCs w:val="22"/>
          <w:lang w:val="lt-LT"/>
        </w:rPr>
        <w:t xml:space="preserve"> to paties arba panašaus </w:t>
      </w:r>
      <w:r>
        <w:rPr>
          <w:snapToGrid/>
          <w:color w:val="000000"/>
          <w:szCs w:val="22"/>
          <w:lang w:val="lt-LT"/>
        </w:rPr>
        <w:t>geriamojo</w:t>
      </w:r>
      <w:r w:rsidRPr="0085618C">
        <w:rPr>
          <w:snapToGrid/>
          <w:color w:val="000000"/>
          <w:szCs w:val="22"/>
          <w:lang w:val="lt-LT"/>
        </w:rPr>
        <w:t xml:space="preserve"> antibiotik</w:t>
      </w:r>
      <w:r>
        <w:rPr>
          <w:snapToGrid/>
          <w:color w:val="000000"/>
          <w:szCs w:val="22"/>
          <w:lang w:val="lt-LT"/>
        </w:rPr>
        <w:t>o vartojimas gali sukelti problemų</w:t>
      </w:r>
      <w:r w:rsidRPr="0085618C">
        <w:rPr>
          <w:snapToGrid/>
          <w:color w:val="000000"/>
          <w:szCs w:val="22"/>
          <w:lang w:val="lt-LT"/>
        </w:rPr>
        <w:t>.</w:t>
      </w:r>
    </w:p>
    <w:p w14:paraId="060541D4" w14:textId="77777777" w:rsidR="0023644A" w:rsidRPr="0085618C" w:rsidRDefault="0023644A" w:rsidP="0023644A">
      <w:pPr>
        <w:shd w:val="clear" w:color="auto" w:fill="FFFFFF"/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85618C">
        <w:rPr>
          <w:snapToGrid/>
          <w:color w:val="000000"/>
          <w:szCs w:val="22"/>
          <w:lang w:val="lt-LT"/>
        </w:rPr>
        <w:t>Jei serga</w:t>
      </w:r>
      <w:r>
        <w:rPr>
          <w:snapToGrid/>
          <w:color w:val="000000"/>
          <w:szCs w:val="22"/>
          <w:lang w:val="lt-LT"/>
        </w:rPr>
        <w:t>te</w:t>
      </w:r>
      <w:r w:rsidRPr="0085618C">
        <w:rPr>
          <w:snapToGrid/>
          <w:color w:val="000000"/>
          <w:szCs w:val="22"/>
          <w:lang w:val="lt-LT"/>
        </w:rPr>
        <w:t xml:space="preserve"> inkstų funkcijos nepakankamumu, </w:t>
      </w:r>
      <w:r>
        <w:rPr>
          <w:snapToGrid/>
          <w:color w:val="000000"/>
          <w:szCs w:val="22"/>
          <w:lang w:val="lt-LT"/>
        </w:rPr>
        <w:t xml:space="preserve">apie tai </w:t>
      </w:r>
      <w:r w:rsidRPr="0085618C">
        <w:rPr>
          <w:snapToGrid/>
          <w:color w:val="000000"/>
          <w:szCs w:val="22"/>
          <w:lang w:val="lt-LT"/>
        </w:rPr>
        <w:t>būtina pasakyti gydytojui</w:t>
      </w:r>
      <w:r>
        <w:rPr>
          <w:snapToGrid/>
          <w:color w:val="000000"/>
          <w:szCs w:val="22"/>
          <w:lang w:val="lt-LT"/>
        </w:rPr>
        <w:t xml:space="preserve"> prieš šio vaisto vartojimą</w:t>
      </w:r>
      <w:r w:rsidRPr="0085618C">
        <w:rPr>
          <w:snapToGrid/>
          <w:color w:val="000000"/>
          <w:szCs w:val="22"/>
          <w:lang w:val="lt-LT"/>
        </w:rPr>
        <w:t>.</w:t>
      </w:r>
    </w:p>
    <w:p w14:paraId="12BB0DEE" w14:textId="77777777" w:rsidR="0023644A" w:rsidRPr="0085618C" w:rsidRDefault="0023644A" w:rsidP="0023644A">
      <w:pPr>
        <w:tabs>
          <w:tab w:val="clear" w:pos="567"/>
          <w:tab w:val="num" w:pos="360"/>
        </w:tabs>
        <w:spacing w:line="240" w:lineRule="auto"/>
        <w:rPr>
          <w:snapToGrid/>
          <w:szCs w:val="22"/>
          <w:lang w:val="lt-LT"/>
        </w:rPr>
      </w:pPr>
    </w:p>
    <w:p w14:paraId="2D121881" w14:textId="77777777" w:rsidR="0023644A" w:rsidRPr="005748E1" w:rsidRDefault="0023644A" w:rsidP="0023644A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r w:rsidRPr="005748E1">
        <w:rPr>
          <w:b/>
          <w:bCs/>
          <w:szCs w:val="28"/>
          <w:lang w:val="lt-LT" w:eastAsia="x-none"/>
        </w:rPr>
        <w:t xml:space="preserve">Kiti vaistai ir </w:t>
      </w:r>
      <w:r w:rsidRPr="00EC036B">
        <w:rPr>
          <w:b/>
          <w:snapToGrid/>
          <w:color w:val="000000"/>
          <w:szCs w:val="22"/>
          <w:lang w:val="lt-LT"/>
        </w:rPr>
        <w:t>POLYGYNAX</w:t>
      </w:r>
      <w:r>
        <w:rPr>
          <w:b/>
          <w:snapToGrid/>
          <w:color w:val="000000"/>
          <w:szCs w:val="22"/>
          <w:lang w:val="lt-LT"/>
        </w:rPr>
        <w:t xml:space="preserve"> makšties minkštosios kapsulės</w:t>
      </w:r>
    </w:p>
    <w:p w14:paraId="2A42C82C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F05FDC3" w14:textId="77777777" w:rsidR="0023644A" w:rsidRDefault="0023644A" w:rsidP="0023644A">
      <w:pPr>
        <w:shd w:val="clear" w:color="auto" w:fill="FFFFFF"/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85618C">
        <w:rPr>
          <w:snapToGrid/>
          <w:color w:val="000000"/>
          <w:szCs w:val="22"/>
          <w:lang w:val="lt-LT"/>
        </w:rPr>
        <w:t>Kartu su POLYGYNAX draudžiama vartoti</w:t>
      </w:r>
      <w:r>
        <w:rPr>
          <w:snapToGrid/>
          <w:color w:val="000000"/>
          <w:szCs w:val="22"/>
          <w:lang w:val="lt-LT"/>
        </w:rPr>
        <w:t>:</w:t>
      </w:r>
    </w:p>
    <w:p w14:paraId="03E505C3" w14:textId="77777777" w:rsidR="0023644A" w:rsidRPr="00520196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 w:rsidRPr="00520196">
        <w:rPr>
          <w:snapToGrid/>
          <w:szCs w:val="22"/>
          <w:lang w:val="lt-LT"/>
        </w:rPr>
        <w:t>spermicidinio</w:t>
      </w:r>
      <w:proofErr w:type="spellEnd"/>
      <w:r w:rsidRPr="00520196">
        <w:rPr>
          <w:snapToGrid/>
          <w:szCs w:val="22"/>
          <w:lang w:val="lt-LT"/>
        </w:rPr>
        <w:t xml:space="preserve"> poveikio preparatų </w:t>
      </w:r>
      <w:r>
        <w:rPr>
          <w:snapToGrid/>
          <w:szCs w:val="22"/>
          <w:lang w:val="lt-LT"/>
        </w:rPr>
        <w:t xml:space="preserve">(lokalaus poveikio kontraceptikų), nes </w:t>
      </w:r>
      <w:r w:rsidRPr="00520196">
        <w:rPr>
          <w:snapToGrid/>
          <w:szCs w:val="22"/>
          <w:lang w:val="lt-LT"/>
        </w:rPr>
        <w:t>jie gali tapti neveiksmingi;</w:t>
      </w:r>
    </w:p>
    <w:p w14:paraId="041AB274" w14:textId="77777777" w:rsidR="0023644A" w:rsidRPr="0085618C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520196">
        <w:rPr>
          <w:snapToGrid/>
          <w:szCs w:val="22"/>
          <w:lang w:val="lt-LT"/>
        </w:rPr>
        <w:t>diafragmą</w:t>
      </w:r>
      <w:r>
        <w:rPr>
          <w:snapToGrid/>
          <w:szCs w:val="22"/>
          <w:lang w:val="lt-LT"/>
        </w:rPr>
        <w:t>,</w:t>
      </w:r>
      <w:r w:rsidRPr="00520196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poliuretano vyrišką prezervatyvą ar</w:t>
      </w:r>
      <w:r w:rsidRPr="0085618C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moterišką</w:t>
      </w:r>
      <w:r w:rsidRPr="0085618C">
        <w:rPr>
          <w:snapToGrid/>
          <w:szCs w:val="22"/>
          <w:lang w:val="lt-LT"/>
        </w:rPr>
        <w:t xml:space="preserve"> </w:t>
      </w:r>
      <w:r w:rsidRPr="00520196">
        <w:rPr>
          <w:snapToGrid/>
          <w:szCs w:val="22"/>
          <w:lang w:val="lt-LT"/>
        </w:rPr>
        <w:t>prezervatyvą</w:t>
      </w:r>
      <w:r>
        <w:rPr>
          <w:snapToGrid/>
          <w:szCs w:val="22"/>
          <w:lang w:val="lt-LT"/>
        </w:rPr>
        <w:t xml:space="preserve">, nes jie </w:t>
      </w:r>
      <w:r w:rsidRPr="00520196">
        <w:rPr>
          <w:snapToGrid/>
          <w:szCs w:val="22"/>
          <w:lang w:val="lt-LT"/>
        </w:rPr>
        <w:t>gali plyšti.</w:t>
      </w:r>
    </w:p>
    <w:p w14:paraId="0F3CD0DA" w14:textId="77777777" w:rsidR="0023644A" w:rsidRPr="005748E1" w:rsidRDefault="0023644A" w:rsidP="002364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5748E1">
        <w:rPr>
          <w:noProof/>
          <w:szCs w:val="24"/>
          <w:lang w:val="lt-LT"/>
        </w:rPr>
        <w:t>Jeigu vartojate ar neseniai vartojote kitų vaistų arba dėl to nes</w:t>
      </w:r>
      <w:r>
        <w:rPr>
          <w:noProof/>
          <w:szCs w:val="24"/>
          <w:lang w:val="lt-LT"/>
        </w:rPr>
        <w:t xml:space="preserve">ate tikra, apie tai pasakykite </w:t>
      </w:r>
      <w:r w:rsidRPr="005748E1">
        <w:rPr>
          <w:noProof/>
          <w:szCs w:val="24"/>
          <w:lang w:val="lt-LT"/>
        </w:rPr>
        <w:t>gydytojui</w:t>
      </w:r>
      <w:r>
        <w:rPr>
          <w:noProof/>
          <w:szCs w:val="24"/>
          <w:lang w:val="lt-LT"/>
        </w:rPr>
        <w:t xml:space="preserve"> </w:t>
      </w:r>
      <w:r w:rsidRPr="005748E1">
        <w:rPr>
          <w:noProof/>
          <w:szCs w:val="24"/>
          <w:lang w:val="lt-LT"/>
        </w:rPr>
        <w:t>arba</w:t>
      </w:r>
      <w:r>
        <w:rPr>
          <w:noProof/>
          <w:szCs w:val="24"/>
          <w:lang w:val="lt-LT"/>
        </w:rPr>
        <w:t xml:space="preserve"> </w:t>
      </w:r>
      <w:r w:rsidRPr="005748E1">
        <w:rPr>
          <w:noProof/>
          <w:szCs w:val="24"/>
          <w:lang w:val="lt-LT"/>
        </w:rPr>
        <w:t>vaistininkui</w:t>
      </w:r>
      <w:r>
        <w:rPr>
          <w:noProof/>
          <w:szCs w:val="24"/>
          <w:lang w:val="lt-LT"/>
        </w:rPr>
        <w:t>.</w:t>
      </w:r>
    </w:p>
    <w:p w14:paraId="2B250454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623C8C8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85618C">
        <w:rPr>
          <w:b/>
          <w:bCs/>
          <w:snapToGrid/>
          <w:szCs w:val="22"/>
          <w:lang w:val="lt-LT"/>
        </w:rPr>
        <w:t>Nėštumas ir žindymo laikotarpis</w:t>
      </w:r>
    </w:p>
    <w:p w14:paraId="65DA7852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5748E1">
        <w:rPr>
          <w:noProof/>
          <w:snapToGrid/>
          <w:szCs w:val="22"/>
          <w:lang w:val="lt-LT"/>
        </w:rPr>
        <w:t>Jeigu esate nėščia, žindote kūdikį, manote, kad galbūt esate nėščia, arba planuojate pastoti, tai prieš varto</w:t>
      </w:r>
      <w:r>
        <w:rPr>
          <w:noProof/>
          <w:snapToGrid/>
          <w:szCs w:val="22"/>
          <w:lang w:val="lt-LT"/>
        </w:rPr>
        <w:t xml:space="preserve">dama šį vaistą, pasitarkite su </w:t>
      </w:r>
      <w:r w:rsidRPr="005748E1">
        <w:rPr>
          <w:noProof/>
          <w:snapToGrid/>
          <w:szCs w:val="22"/>
          <w:lang w:val="lt-LT"/>
        </w:rPr>
        <w:t>gydytoju</w:t>
      </w:r>
      <w:r>
        <w:rPr>
          <w:noProof/>
          <w:snapToGrid/>
          <w:szCs w:val="22"/>
          <w:lang w:val="lt-LT"/>
        </w:rPr>
        <w:t xml:space="preserve"> </w:t>
      </w:r>
      <w:r w:rsidRPr="005748E1">
        <w:rPr>
          <w:noProof/>
          <w:snapToGrid/>
          <w:szCs w:val="22"/>
          <w:lang w:val="lt-LT"/>
        </w:rPr>
        <w:t>arba</w:t>
      </w:r>
      <w:r>
        <w:rPr>
          <w:noProof/>
          <w:snapToGrid/>
          <w:szCs w:val="22"/>
          <w:lang w:val="lt-LT"/>
        </w:rPr>
        <w:t xml:space="preserve"> </w:t>
      </w:r>
      <w:r w:rsidRPr="005748E1">
        <w:rPr>
          <w:noProof/>
          <w:snapToGrid/>
          <w:szCs w:val="22"/>
          <w:lang w:val="lt-LT"/>
        </w:rPr>
        <w:t>vaistininku</w:t>
      </w:r>
      <w:r w:rsidRPr="0085618C">
        <w:rPr>
          <w:noProof/>
          <w:snapToGrid/>
          <w:szCs w:val="22"/>
          <w:lang w:val="lt-LT"/>
        </w:rPr>
        <w:t>.</w:t>
      </w:r>
    </w:p>
    <w:p w14:paraId="0946CF90" w14:textId="77777777" w:rsidR="0023644A" w:rsidRDefault="0023644A" w:rsidP="0023644A">
      <w:pPr>
        <w:shd w:val="clear" w:color="auto" w:fill="FFFFFF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Jei gydytojas nenurodė kitaip, n</w:t>
      </w:r>
      <w:r w:rsidRPr="0085618C">
        <w:rPr>
          <w:snapToGrid/>
          <w:szCs w:val="22"/>
          <w:lang w:val="lt-LT"/>
        </w:rPr>
        <w:t xml:space="preserve">ėštumo bei žindymo laikotarpiu </w:t>
      </w:r>
      <w:r>
        <w:rPr>
          <w:snapToGrid/>
          <w:szCs w:val="22"/>
          <w:lang w:val="lt-LT"/>
        </w:rPr>
        <w:t>šio vaisto vartoti nerekomenduojama</w:t>
      </w:r>
      <w:r w:rsidRPr="0085618C">
        <w:rPr>
          <w:snapToGrid/>
          <w:szCs w:val="22"/>
          <w:lang w:val="lt-LT"/>
        </w:rPr>
        <w:t>.</w:t>
      </w:r>
    </w:p>
    <w:p w14:paraId="7C957EC2" w14:textId="77777777" w:rsidR="0023644A" w:rsidRPr="0085618C" w:rsidRDefault="0023644A" w:rsidP="0023644A">
      <w:pPr>
        <w:shd w:val="clear" w:color="auto" w:fill="FFFFFF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Jei gydymo metu sužinosite, kad pastojote, nedelsdama pasitarkite su gydytoju, nes tik jis gali koreguoti gydymą atsižvelgdamas į Jūsų situaciją.</w:t>
      </w:r>
    </w:p>
    <w:p w14:paraId="0E2CC234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62303C1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85618C">
        <w:rPr>
          <w:b/>
          <w:bCs/>
          <w:snapToGrid/>
          <w:szCs w:val="22"/>
          <w:lang w:val="lt-LT"/>
        </w:rPr>
        <w:t xml:space="preserve">POLYGYNAX </w:t>
      </w:r>
      <w:r>
        <w:rPr>
          <w:b/>
          <w:bCs/>
          <w:snapToGrid/>
          <w:szCs w:val="22"/>
          <w:lang w:val="lt-LT"/>
        </w:rPr>
        <w:t xml:space="preserve">makšties minkštųjų kapsulių sudėtyje yra </w:t>
      </w:r>
      <w:proofErr w:type="spellStart"/>
      <w:r>
        <w:rPr>
          <w:b/>
          <w:bCs/>
          <w:snapToGrid/>
          <w:szCs w:val="22"/>
          <w:lang w:val="lt-LT"/>
        </w:rPr>
        <w:t>hidrinto</w:t>
      </w:r>
      <w:proofErr w:type="spellEnd"/>
      <w:r>
        <w:rPr>
          <w:b/>
          <w:bCs/>
          <w:snapToGrid/>
          <w:szCs w:val="22"/>
          <w:lang w:val="lt-LT"/>
        </w:rPr>
        <w:t xml:space="preserve"> sojų aliejaus</w:t>
      </w:r>
    </w:p>
    <w:p w14:paraId="6853EC29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Kapsulėse yra sojų aliejaus. Jei esate alergiška žemės riešutams arba sojai, Jums šio vaisto vartoti negalima.</w:t>
      </w:r>
    </w:p>
    <w:p w14:paraId="7697D40E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9AF2442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F0EC588" w14:textId="77777777" w:rsidR="0023644A" w:rsidRPr="0085618C" w:rsidRDefault="0023644A" w:rsidP="0023644A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7" w:name="_Toc129243141"/>
      <w:bookmarkStart w:id="8" w:name="_Toc129243266"/>
      <w:r w:rsidRPr="0085618C">
        <w:rPr>
          <w:b/>
          <w:snapToGrid/>
          <w:szCs w:val="22"/>
          <w:lang w:val="lt-LT"/>
        </w:rPr>
        <w:t>3.</w:t>
      </w:r>
      <w:r w:rsidRPr="0085618C">
        <w:rPr>
          <w:b/>
          <w:snapToGrid/>
          <w:szCs w:val="22"/>
          <w:lang w:val="lt-LT"/>
        </w:rPr>
        <w:tab/>
      </w:r>
      <w:r w:rsidRPr="0059777C">
        <w:rPr>
          <w:b/>
          <w:snapToGrid/>
          <w:szCs w:val="22"/>
          <w:lang w:val="lt-LT"/>
        </w:rPr>
        <w:t>Kaip vartoti POLYGYNAX</w:t>
      </w:r>
      <w:bookmarkEnd w:id="7"/>
      <w:bookmarkEnd w:id="8"/>
      <w:r w:rsidRPr="00A42970">
        <w:rPr>
          <w:snapToGrid/>
          <w:szCs w:val="22"/>
          <w:lang w:val="lt-LT"/>
        </w:rPr>
        <w:t xml:space="preserve"> </w:t>
      </w:r>
      <w:r w:rsidRPr="00A42970">
        <w:rPr>
          <w:b/>
          <w:snapToGrid/>
          <w:szCs w:val="22"/>
          <w:lang w:val="lt-LT"/>
        </w:rPr>
        <w:t>makšties minkštąsias kapsules</w:t>
      </w:r>
    </w:p>
    <w:p w14:paraId="44BCA5CF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431C0E8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5748E1">
        <w:rPr>
          <w:noProof/>
          <w:snapToGrid/>
          <w:szCs w:val="22"/>
          <w:lang w:val="lt-LT"/>
        </w:rPr>
        <w:t xml:space="preserve">Visada vartokite šį vaistą </w:t>
      </w:r>
      <w:r w:rsidRPr="0085618C">
        <w:rPr>
          <w:noProof/>
          <w:snapToGrid/>
          <w:szCs w:val="22"/>
          <w:lang w:val="lt-LT"/>
        </w:rPr>
        <w:t>tiksliai kaip nurodė gydytojas. Jeigu abejojate, kreipkitės į gydytoją arba vaistininką.</w:t>
      </w:r>
    </w:p>
    <w:p w14:paraId="53C23B6D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D6EB8CF" w14:textId="77777777" w:rsidR="0023644A" w:rsidRPr="0092536B" w:rsidRDefault="0023644A" w:rsidP="0023644A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>Visada laikykitės gydytojo nurodymų dėl skirtos dozės ir gydymo trukmės</w:t>
      </w:r>
      <w:r w:rsidRPr="0092536B">
        <w:rPr>
          <w:snapToGrid/>
          <w:color w:val="000000"/>
          <w:szCs w:val="22"/>
          <w:lang w:val="lt-LT"/>
        </w:rPr>
        <w:t>.</w:t>
      </w:r>
    </w:p>
    <w:p w14:paraId="7BB4D2D5" w14:textId="77777777" w:rsidR="0023644A" w:rsidRPr="0092536B" w:rsidRDefault="0023644A" w:rsidP="0023644A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>Rekomenduojama dozė yra viena kapsulė vakare prieš miegą, tokia dozė vartojama</w:t>
      </w:r>
      <w:r w:rsidRPr="0092536B">
        <w:rPr>
          <w:snapToGrid/>
          <w:color w:val="000000"/>
          <w:szCs w:val="22"/>
          <w:lang w:val="lt-LT"/>
        </w:rPr>
        <w:t xml:space="preserve"> 6</w:t>
      </w:r>
      <w:r>
        <w:rPr>
          <w:snapToGrid/>
          <w:color w:val="000000"/>
          <w:szCs w:val="22"/>
          <w:lang w:val="lt-LT"/>
        </w:rPr>
        <w:noBreakHyphen/>
      </w:r>
      <w:r w:rsidRPr="0092536B">
        <w:rPr>
          <w:snapToGrid/>
          <w:color w:val="000000"/>
          <w:szCs w:val="22"/>
          <w:lang w:val="lt-LT"/>
        </w:rPr>
        <w:t>12</w:t>
      </w:r>
      <w:r>
        <w:rPr>
          <w:snapToGrid/>
          <w:color w:val="000000"/>
          <w:szCs w:val="22"/>
          <w:lang w:val="lt-LT"/>
        </w:rPr>
        <w:t> dienų</w:t>
      </w:r>
      <w:r w:rsidRPr="0092536B">
        <w:rPr>
          <w:snapToGrid/>
          <w:color w:val="000000"/>
          <w:szCs w:val="22"/>
          <w:lang w:val="lt-LT"/>
        </w:rPr>
        <w:t>.</w:t>
      </w:r>
    </w:p>
    <w:p w14:paraId="63093C53" w14:textId="77777777" w:rsidR="0023644A" w:rsidRPr="0092536B" w:rsidRDefault="0023644A" w:rsidP="0023644A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745C1B3C" w14:textId="77777777" w:rsidR="0023644A" w:rsidRPr="00B8030E" w:rsidRDefault="0023644A" w:rsidP="0023644A">
      <w:pPr>
        <w:tabs>
          <w:tab w:val="clear" w:pos="567"/>
        </w:tabs>
        <w:spacing w:line="240" w:lineRule="auto"/>
        <w:rPr>
          <w:b/>
          <w:bCs/>
          <w:snapToGrid/>
          <w:color w:val="000000"/>
          <w:szCs w:val="22"/>
          <w:lang w:val="lt-LT"/>
        </w:rPr>
      </w:pPr>
      <w:r w:rsidRPr="00B8030E">
        <w:rPr>
          <w:b/>
          <w:bCs/>
          <w:snapToGrid/>
          <w:color w:val="000000"/>
          <w:szCs w:val="22"/>
          <w:lang w:val="lt-LT"/>
        </w:rPr>
        <w:t>Vartojimo metodas ir būdas</w:t>
      </w:r>
    </w:p>
    <w:p w14:paraId="0C8DB9E5" w14:textId="77777777" w:rsidR="0023644A" w:rsidRPr="0092536B" w:rsidRDefault="0023644A" w:rsidP="0023644A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>Šis vaistas turi būti vartojamas į makštį</w:t>
      </w:r>
      <w:r w:rsidRPr="0092536B">
        <w:rPr>
          <w:snapToGrid/>
          <w:color w:val="000000"/>
          <w:szCs w:val="22"/>
          <w:lang w:val="lt-LT"/>
        </w:rPr>
        <w:t xml:space="preserve">. </w:t>
      </w:r>
      <w:r>
        <w:rPr>
          <w:snapToGrid/>
          <w:color w:val="000000"/>
          <w:szCs w:val="22"/>
          <w:lang w:val="lt-LT"/>
        </w:rPr>
        <w:t>Makšties kapsulių negalima nuryti</w:t>
      </w:r>
      <w:r w:rsidRPr="0092536B">
        <w:rPr>
          <w:snapToGrid/>
          <w:color w:val="000000"/>
          <w:szCs w:val="22"/>
          <w:lang w:val="lt-LT"/>
        </w:rPr>
        <w:t>.</w:t>
      </w:r>
    </w:p>
    <w:p w14:paraId="34214BA7" w14:textId="77777777" w:rsidR="0023644A" w:rsidRPr="0092536B" w:rsidRDefault="0023644A" w:rsidP="0023644A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>Kapsulę reikia įkišti giliai į makštį, geriausia gulint</w:t>
      </w:r>
      <w:r w:rsidRPr="0092536B">
        <w:rPr>
          <w:snapToGrid/>
          <w:color w:val="000000"/>
          <w:szCs w:val="22"/>
          <w:lang w:val="lt-LT"/>
        </w:rPr>
        <w:t xml:space="preserve">. </w:t>
      </w:r>
      <w:r>
        <w:rPr>
          <w:snapToGrid/>
          <w:color w:val="000000"/>
          <w:szCs w:val="22"/>
          <w:lang w:val="lt-LT"/>
        </w:rPr>
        <w:t>Lengviausia tai padaryti gulint ant nugaros, sulenkus kelius ir išsiskėtus</w:t>
      </w:r>
      <w:r w:rsidRPr="0092536B">
        <w:rPr>
          <w:snapToGrid/>
          <w:color w:val="000000"/>
          <w:szCs w:val="22"/>
          <w:lang w:val="lt-LT"/>
        </w:rPr>
        <w:t>.</w:t>
      </w:r>
    </w:p>
    <w:p w14:paraId="7C6007C0" w14:textId="77777777" w:rsidR="0023644A" w:rsidRPr="0092536B" w:rsidRDefault="0023644A" w:rsidP="0023644A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0B1658E6" w14:textId="77777777" w:rsidR="0023644A" w:rsidRPr="00B8030E" w:rsidRDefault="0023644A" w:rsidP="0023644A">
      <w:pPr>
        <w:tabs>
          <w:tab w:val="clear" w:pos="567"/>
        </w:tabs>
        <w:spacing w:line="240" w:lineRule="auto"/>
        <w:rPr>
          <w:b/>
          <w:bCs/>
          <w:snapToGrid/>
          <w:color w:val="000000"/>
          <w:szCs w:val="22"/>
          <w:lang w:val="lt-LT"/>
        </w:rPr>
      </w:pPr>
      <w:r w:rsidRPr="00B8030E">
        <w:rPr>
          <w:b/>
          <w:bCs/>
          <w:snapToGrid/>
          <w:color w:val="000000"/>
          <w:szCs w:val="22"/>
          <w:lang w:val="lt-LT"/>
        </w:rPr>
        <w:t>Praktiniai patarimai</w:t>
      </w:r>
    </w:p>
    <w:p w14:paraId="735D24AD" w14:textId="77777777" w:rsidR="0023644A" w:rsidRPr="0092536B" w:rsidRDefault="0023644A" w:rsidP="0023644A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>Gydymo metu rekomenduojama laikytis tam tikrų higienos priemonių</w:t>
      </w:r>
      <w:r w:rsidRPr="0092536B">
        <w:rPr>
          <w:snapToGrid/>
          <w:color w:val="000000"/>
          <w:szCs w:val="22"/>
          <w:lang w:val="lt-LT"/>
        </w:rPr>
        <w:t>:</w:t>
      </w:r>
    </w:p>
    <w:p w14:paraId="5754F8BB" w14:textId="77777777" w:rsidR="0023644A" w:rsidRPr="00B8030E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kad neapkrėstumėte aplinkinių</w:t>
      </w:r>
      <w:r w:rsidRPr="00B8030E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>naudokite tik savo vonios reikmenis</w:t>
      </w:r>
      <w:r w:rsidRPr="00FB176B">
        <w:rPr>
          <w:snapToGrid/>
          <w:szCs w:val="22"/>
          <w:lang w:val="lt-LT"/>
        </w:rPr>
        <w:t xml:space="preserve"> (</w:t>
      </w:r>
      <w:r>
        <w:rPr>
          <w:snapToGrid/>
          <w:szCs w:val="22"/>
          <w:lang w:val="lt-LT"/>
        </w:rPr>
        <w:t>pirštines, rankšluosčius</w:t>
      </w:r>
      <w:r w:rsidRPr="00B8030E">
        <w:rPr>
          <w:snapToGrid/>
          <w:szCs w:val="22"/>
          <w:lang w:val="lt-LT"/>
        </w:rPr>
        <w:t>)</w:t>
      </w:r>
      <w:r>
        <w:rPr>
          <w:snapToGrid/>
          <w:szCs w:val="22"/>
          <w:lang w:val="lt-LT"/>
        </w:rPr>
        <w:t>;</w:t>
      </w:r>
    </w:p>
    <w:p w14:paraId="71D70FBF" w14:textId="77777777" w:rsidR="0023644A" w:rsidRPr="00B8030E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dėvėkite medvilninius apatinius drabužius;</w:t>
      </w:r>
    </w:p>
    <w:p w14:paraId="62840F37" w14:textId="77777777" w:rsidR="0023644A" w:rsidRPr="00B8030E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venkite plauti makštį;</w:t>
      </w:r>
    </w:p>
    <w:p w14:paraId="7F48A27E" w14:textId="77777777" w:rsidR="0023644A" w:rsidRPr="00B8030E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gydymo metu venkite naudoti tamponus;</w:t>
      </w:r>
    </w:p>
    <w:p w14:paraId="208EC319" w14:textId="77777777" w:rsidR="0023644A" w:rsidRPr="00B8030E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nenutraukite gydymo menstruacijų laikotarpiu;</w:t>
      </w:r>
    </w:p>
    <w:p w14:paraId="1FDF4B5C" w14:textId="77777777" w:rsidR="0023644A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8030E">
        <w:rPr>
          <w:snapToGrid/>
          <w:szCs w:val="22"/>
          <w:lang w:val="lt-LT"/>
        </w:rPr>
        <w:t xml:space="preserve">gydytojas gali nurodyti gydytis Jūsų lytiniam </w:t>
      </w:r>
      <w:r w:rsidRPr="00E56232">
        <w:rPr>
          <w:snapToGrid/>
          <w:szCs w:val="22"/>
          <w:lang w:val="lt-LT"/>
        </w:rPr>
        <w:t>partneriui.</w:t>
      </w:r>
    </w:p>
    <w:p w14:paraId="545AC184" w14:textId="77777777" w:rsidR="0023644A" w:rsidRPr="00FC6FD7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lastRenderedPageBreak/>
        <w:t>Vaistas</w:t>
      </w:r>
      <w:r w:rsidRPr="00FC6FD7">
        <w:rPr>
          <w:snapToGrid/>
          <w:szCs w:val="22"/>
          <w:lang w:val="lt-LT"/>
        </w:rPr>
        <w:t xml:space="preserve"> yra suderinamas su latekso ir </w:t>
      </w:r>
      <w:proofErr w:type="spellStart"/>
      <w:r w:rsidRPr="00FC6FD7">
        <w:rPr>
          <w:snapToGrid/>
          <w:szCs w:val="22"/>
          <w:lang w:val="lt-LT"/>
        </w:rPr>
        <w:t>poliizopreno</w:t>
      </w:r>
      <w:proofErr w:type="spellEnd"/>
      <w:r w:rsidRPr="00FC6FD7">
        <w:rPr>
          <w:snapToGrid/>
          <w:szCs w:val="22"/>
          <w:lang w:val="lt-LT"/>
        </w:rPr>
        <w:t xml:space="preserve"> vyriškais prezervatyvais. Vis dėlto kartu draudžiama vartoti poliuretano vyrišką prezervatyvą</w:t>
      </w:r>
      <w:r>
        <w:rPr>
          <w:snapToGrid/>
          <w:szCs w:val="22"/>
          <w:lang w:val="lt-LT"/>
        </w:rPr>
        <w:t>,</w:t>
      </w:r>
      <w:r w:rsidRPr="00FC6FD7">
        <w:rPr>
          <w:snapToGrid/>
          <w:szCs w:val="22"/>
          <w:lang w:val="lt-LT"/>
        </w:rPr>
        <w:t xml:space="preserve"> moterišką prezervatyvą </w:t>
      </w:r>
      <w:r>
        <w:rPr>
          <w:snapToGrid/>
          <w:szCs w:val="22"/>
          <w:lang w:val="lt-LT"/>
        </w:rPr>
        <w:t xml:space="preserve">ar </w:t>
      </w:r>
      <w:r w:rsidRPr="00FC6FD7">
        <w:rPr>
          <w:snapToGrid/>
          <w:szCs w:val="22"/>
          <w:lang w:val="lt-LT"/>
        </w:rPr>
        <w:t>diafragmą</w:t>
      </w:r>
      <w:r>
        <w:rPr>
          <w:snapToGrid/>
          <w:szCs w:val="22"/>
          <w:lang w:val="lt-LT"/>
        </w:rPr>
        <w:t xml:space="preserve"> (žr. 2 skyrių).</w:t>
      </w:r>
    </w:p>
    <w:p w14:paraId="38BECE87" w14:textId="77777777" w:rsidR="0023644A" w:rsidRPr="0092536B" w:rsidRDefault="0023644A" w:rsidP="0023644A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0B05E843" w14:textId="77777777" w:rsidR="0023644A" w:rsidRPr="00B8030E" w:rsidRDefault="0023644A" w:rsidP="0023644A">
      <w:pPr>
        <w:tabs>
          <w:tab w:val="clear" w:pos="567"/>
        </w:tabs>
        <w:spacing w:line="240" w:lineRule="auto"/>
        <w:rPr>
          <w:b/>
          <w:bCs/>
          <w:snapToGrid/>
          <w:color w:val="000000"/>
          <w:szCs w:val="22"/>
          <w:lang w:val="lt-LT"/>
        </w:rPr>
      </w:pPr>
      <w:r w:rsidRPr="00B8030E">
        <w:rPr>
          <w:b/>
          <w:bCs/>
          <w:snapToGrid/>
          <w:color w:val="000000"/>
          <w:szCs w:val="22"/>
          <w:lang w:val="lt-LT"/>
        </w:rPr>
        <w:t>Ką daryti pavartojus per didelę POLYGYNAX makšties minkštųjų kapsulių dozę?</w:t>
      </w:r>
    </w:p>
    <w:p w14:paraId="7CAC164C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Per didelių dozių ir ilgalaikis vartojimas gali sukelti nepageidaujamą poveikį klausai ir inkstams, ypač pacientams, kuriems yra inkstų nepakankamumas. Be to, ilgalaikis vartojimas gali didinti alerginės egzemos pasireiškimo riziką</w:t>
      </w:r>
      <w:r w:rsidRPr="0085618C">
        <w:rPr>
          <w:snapToGrid/>
          <w:szCs w:val="22"/>
          <w:lang w:val="lt-LT"/>
        </w:rPr>
        <w:t>.</w:t>
      </w:r>
    </w:p>
    <w:p w14:paraId="70E05825" w14:textId="77777777" w:rsidR="0023644A" w:rsidRPr="0092536B" w:rsidRDefault="0023644A" w:rsidP="0023644A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69A26B11" w14:textId="77777777" w:rsidR="0023644A" w:rsidRPr="00B8030E" w:rsidRDefault="0023644A" w:rsidP="0023644A">
      <w:pPr>
        <w:tabs>
          <w:tab w:val="clear" w:pos="567"/>
        </w:tabs>
        <w:spacing w:line="240" w:lineRule="auto"/>
        <w:rPr>
          <w:b/>
          <w:bCs/>
          <w:snapToGrid/>
          <w:color w:val="000000"/>
          <w:szCs w:val="22"/>
          <w:lang w:val="lt-LT"/>
        </w:rPr>
      </w:pPr>
      <w:r>
        <w:rPr>
          <w:b/>
          <w:bCs/>
          <w:snapToGrid/>
          <w:color w:val="000000"/>
          <w:szCs w:val="22"/>
          <w:lang w:val="lt-LT"/>
        </w:rPr>
        <w:t>Pamiršus pavartoti</w:t>
      </w:r>
      <w:r w:rsidRPr="00B8030E">
        <w:rPr>
          <w:b/>
          <w:bCs/>
          <w:snapToGrid/>
          <w:color w:val="000000"/>
          <w:szCs w:val="22"/>
          <w:lang w:val="lt-LT"/>
        </w:rPr>
        <w:t xml:space="preserve"> POLYGYNAX</w:t>
      </w:r>
      <w:r w:rsidRPr="0082367C">
        <w:rPr>
          <w:b/>
          <w:bCs/>
          <w:snapToGrid/>
          <w:color w:val="000000"/>
          <w:szCs w:val="22"/>
          <w:lang w:val="lt-LT"/>
        </w:rPr>
        <w:t xml:space="preserve"> </w:t>
      </w:r>
      <w:r w:rsidRPr="00B8030E">
        <w:rPr>
          <w:b/>
          <w:bCs/>
          <w:snapToGrid/>
          <w:color w:val="000000"/>
          <w:szCs w:val="22"/>
          <w:lang w:val="lt-LT"/>
        </w:rPr>
        <w:t>makšties minkšt</w:t>
      </w:r>
      <w:r>
        <w:rPr>
          <w:b/>
          <w:bCs/>
          <w:snapToGrid/>
          <w:color w:val="000000"/>
          <w:szCs w:val="22"/>
          <w:lang w:val="lt-LT"/>
        </w:rPr>
        <w:t>ąsias</w:t>
      </w:r>
      <w:r w:rsidRPr="00B8030E">
        <w:rPr>
          <w:b/>
          <w:bCs/>
          <w:snapToGrid/>
          <w:color w:val="000000"/>
          <w:szCs w:val="22"/>
          <w:lang w:val="lt-LT"/>
        </w:rPr>
        <w:t xml:space="preserve"> kapsul</w:t>
      </w:r>
      <w:r>
        <w:rPr>
          <w:b/>
          <w:bCs/>
          <w:snapToGrid/>
          <w:color w:val="000000"/>
          <w:szCs w:val="22"/>
          <w:lang w:val="lt-LT"/>
        </w:rPr>
        <w:t>es</w:t>
      </w:r>
    </w:p>
    <w:p w14:paraId="16F24D1C" w14:textId="77777777" w:rsidR="0023644A" w:rsidRPr="0092536B" w:rsidRDefault="0023644A" w:rsidP="0023644A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A0600E">
        <w:rPr>
          <w:snapToGrid/>
          <w:color w:val="000000"/>
          <w:szCs w:val="22"/>
          <w:lang w:val="lt-LT"/>
        </w:rPr>
        <w:t>Negalima vartoti dvigubos dozės norint kompensuoti praleistą doz</w:t>
      </w:r>
      <w:r>
        <w:rPr>
          <w:snapToGrid/>
          <w:color w:val="000000"/>
          <w:szCs w:val="22"/>
          <w:lang w:val="lt-LT"/>
        </w:rPr>
        <w:t>ę</w:t>
      </w:r>
      <w:r w:rsidRPr="0092536B">
        <w:rPr>
          <w:snapToGrid/>
          <w:color w:val="000000"/>
          <w:szCs w:val="22"/>
          <w:lang w:val="lt-LT"/>
        </w:rPr>
        <w:t>.</w:t>
      </w:r>
    </w:p>
    <w:p w14:paraId="6884EE28" w14:textId="77777777" w:rsidR="0023644A" w:rsidRPr="0092536B" w:rsidRDefault="0023644A" w:rsidP="0023644A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4EB15D35" w14:textId="77777777" w:rsidR="0023644A" w:rsidRPr="00B8030E" w:rsidRDefault="0023644A" w:rsidP="0023644A">
      <w:pPr>
        <w:tabs>
          <w:tab w:val="clear" w:pos="567"/>
        </w:tabs>
        <w:spacing w:line="240" w:lineRule="auto"/>
        <w:rPr>
          <w:b/>
          <w:bCs/>
          <w:snapToGrid/>
          <w:color w:val="000000"/>
          <w:szCs w:val="22"/>
          <w:lang w:val="lt-LT"/>
        </w:rPr>
      </w:pPr>
      <w:r>
        <w:rPr>
          <w:b/>
          <w:bCs/>
          <w:snapToGrid/>
          <w:color w:val="000000"/>
          <w:szCs w:val="22"/>
          <w:lang w:val="lt-LT"/>
        </w:rPr>
        <w:t>Nustojus vartoti</w:t>
      </w:r>
      <w:r w:rsidRPr="00B8030E">
        <w:rPr>
          <w:b/>
          <w:bCs/>
          <w:snapToGrid/>
          <w:color w:val="000000"/>
          <w:szCs w:val="22"/>
          <w:lang w:val="lt-LT"/>
        </w:rPr>
        <w:t xml:space="preserve"> POLYGYNAX</w:t>
      </w:r>
      <w:r w:rsidRPr="0082367C">
        <w:rPr>
          <w:b/>
          <w:bCs/>
          <w:snapToGrid/>
          <w:color w:val="000000"/>
          <w:szCs w:val="22"/>
          <w:lang w:val="lt-LT"/>
        </w:rPr>
        <w:t xml:space="preserve"> </w:t>
      </w:r>
      <w:r w:rsidRPr="00B8030E">
        <w:rPr>
          <w:b/>
          <w:bCs/>
          <w:snapToGrid/>
          <w:color w:val="000000"/>
          <w:szCs w:val="22"/>
          <w:lang w:val="lt-LT"/>
        </w:rPr>
        <w:t>makšties minkšt</w:t>
      </w:r>
      <w:r>
        <w:rPr>
          <w:b/>
          <w:bCs/>
          <w:snapToGrid/>
          <w:color w:val="000000"/>
          <w:szCs w:val="22"/>
          <w:lang w:val="lt-LT"/>
        </w:rPr>
        <w:t>ąsias</w:t>
      </w:r>
      <w:r w:rsidRPr="00B8030E">
        <w:rPr>
          <w:b/>
          <w:bCs/>
          <w:snapToGrid/>
          <w:color w:val="000000"/>
          <w:szCs w:val="22"/>
          <w:lang w:val="lt-LT"/>
        </w:rPr>
        <w:t xml:space="preserve"> kapsul</w:t>
      </w:r>
      <w:r>
        <w:rPr>
          <w:b/>
          <w:bCs/>
          <w:snapToGrid/>
          <w:color w:val="000000"/>
          <w:szCs w:val="22"/>
          <w:lang w:val="lt-LT"/>
        </w:rPr>
        <w:t>es</w:t>
      </w:r>
    </w:p>
    <w:p w14:paraId="05518A95" w14:textId="77777777" w:rsidR="0023644A" w:rsidRPr="0085618C" w:rsidRDefault="0023644A" w:rsidP="0023644A">
      <w:pPr>
        <w:shd w:val="clear" w:color="auto" w:fill="FFFFFF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>Duomenys neaktualūs</w:t>
      </w:r>
      <w:r w:rsidRPr="0092536B">
        <w:rPr>
          <w:snapToGrid/>
          <w:color w:val="000000"/>
          <w:szCs w:val="22"/>
          <w:lang w:val="lt-LT"/>
        </w:rPr>
        <w:t>.</w:t>
      </w:r>
    </w:p>
    <w:p w14:paraId="243E1ED1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E31039A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>Jeigu kiltų daugiau klausimų dėl šio vaisto vartojimo, kreipkitės į gydytoją arba vaistininką.</w:t>
      </w:r>
    </w:p>
    <w:p w14:paraId="39641651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FB90681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83B5DFB" w14:textId="77777777" w:rsidR="0023644A" w:rsidRPr="0085618C" w:rsidRDefault="0023644A" w:rsidP="0023644A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9" w:name="_Toc129243142"/>
      <w:bookmarkStart w:id="10" w:name="_Toc129243267"/>
      <w:r w:rsidRPr="0085618C">
        <w:rPr>
          <w:b/>
          <w:snapToGrid/>
          <w:szCs w:val="22"/>
          <w:lang w:val="lt-LT"/>
        </w:rPr>
        <w:t>4.</w:t>
      </w:r>
      <w:r w:rsidRPr="0085618C">
        <w:rPr>
          <w:b/>
          <w:snapToGrid/>
          <w:szCs w:val="22"/>
          <w:lang w:val="lt-LT"/>
        </w:rPr>
        <w:tab/>
      </w:r>
      <w:r w:rsidRPr="0059777C">
        <w:rPr>
          <w:b/>
          <w:snapToGrid/>
          <w:szCs w:val="22"/>
          <w:lang w:val="lt-LT"/>
        </w:rPr>
        <w:t>Galimas šalutinis poveikis</w:t>
      </w:r>
      <w:bookmarkEnd w:id="9"/>
      <w:bookmarkEnd w:id="10"/>
    </w:p>
    <w:p w14:paraId="689114DD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0DA4258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5748E1">
        <w:rPr>
          <w:noProof/>
          <w:snapToGrid/>
          <w:szCs w:val="22"/>
          <w:lang w:val="lt-LT"/>
        </w:rPr>
        <w:t>Šis vaistas, kaip ir visi kiti</w:t>
      </w:r>
      <w:r w:rsidRPr="0085618C">
        <w:rPr>
          <w:noProof/>
          <w:snapToGrid/>
          <w:szCs w:val="22"/>
          <w:lang w:val="lt-LT"/>
        </w:rPr>
        <w:t>, gali sukelti šalutinį poveikį, nors jis pasireiškia ne visiems žmonėms.</w:t>
      </w:r>
    </w:p>
    <w:p w14:paraId="702FFE8F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C45B6EC" w14:textId="77777777" w:rsidR="0023644A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Šalutinis poveikis, kurio dažnis nežinomas (negali būti apskaičiuotas pagal turimus duomenis):</w:t>
      </w:r>
    </w:p>
    <w:p w14:paraId="1987690F" w14:textId="77777777" w:rsidR="0023644A" w:rsidRPr="0082367C" w:rsidRDefault="0023644A" w:rsidP="0023644A">
      <w:pPr>
        <w:numPr>
          <w:ilvl w:val="0"/>
          <w:numId w:val="1"/>
        </w:numPr>
        <w:tabs>
          <w:tab w:val="clear" w:pos="717"/>
          <w:tab w:val="num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alerginės reakcijos (padidėjęs jautrumas), pvz.,</w:t>
      </w:r>
      <w:r w:rsidRPr="0082367C">
        <w:rPr>
          <w:snapToGrid/>
          <w:szCs w:val="22"/>
          <w:lang w:val="lt-LT"/>
        </w:rPr>
        <w:t xml:space="preserve"> niežėjimas ir anafilaksinė</w:t>
      </w:r>
      <w:r>
        <w:rPr>
          <w:snapToGrid/>
          <w:szCs w:val="22"/>
          <w:lang w:val="lt-LT"/>
        </w:rPr>
        <w:t>s</w:t>
      </w:r>
      <w:r w:rsidRPr="0082367C">
        <w:rPr>
          <w:snapToGrid/>
          <w:szCs w:val="22"/>
          <w:lang w:val="lt-LT"/>
        </w:rPr>
        <w:t xml:space="preserve"> reakcij</w:t>
      </w:r>
      <w:r>
        <w:rPr>
          <w:snapToGrid/>
          <w:szCs w:val="22"/>
          <w:lang w:val="lt-LT"/>
        </w:rPr>
        <w:t>os;</w:t>
      </w:r>
    </w:p>
    <w:p w14:paraId="7AD61885" w14:textId="77777777" w:rsidR="0023644A" w:rsidRPr="0085618C" w:rsidRDefault="0023644A" w:rsidP="0023644A">
      <w:pPr>
        <w:numPr>
          <w:ilvl w:val="0"/>
          <w:numId w:val="1"/>
        </w:numPr>
        <w:tabs>
          <w:tab w:val="clear" w:pos="717"/>
          <w:tab w:val="num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reakcija vartojimo vietoje:</w:t>
      </w:r>
      <w:r w:rsidRPr="0082367C">
        <w:rPr>
          <w:snapToGrid/>
          <w:szCs w:val="22"/>
          <w:lang w:val="lt-LT"/>
        </w:rPr>
        <w:t xml:space="preserve"> deginimo pojūtis, niežėjimas, dirginimas, paraudimas ir </w:t>
      </w:r>
      <w:r>
        <w:rPr>
          <w:snapToGrid/>
          <w:szCs w:val="22"/>
          <w:lang w:val="lt-LT"/>
        </w:rPr>
        <w:t>patinimas</w:t>
      </w:r>
      <w:r w:rsidRPr="0085618C">
        <w:rPr>
          <w:snapToGrid/>
          <w:szCs w:val="22"/>
          <w:lang w:val="lt-LT"/>
        </w:rPr>
        <w:t>.</w:t>
      </w:r>
    </w:p>
    <w:p w14:paraId="0277AFBD" w14:textId="77777777" w:rsidR="0023644A" w:rsidRPr="0085618C" w:rsidRDefault="0023644A" w:rsidP="0023644A">
      <w:pPr>
        <w:tabs>
          <w:tab w:val="num" w:pos="567"/>
        </w:tabs>
        <w:spacing w:line="240" w:lineRule="auto"/>
        <w:ind w:left="567" w:hanging="567"/>
        <w:rPr>
          <w:noProof/>
          <w:snapToGrid/>
          <w:szCs w:val="22"/>
          <w:lang w:val="lt-LT"/>
        </w:rPr>
      </w:pPr>
    </w:p>
    <w:p w14:paraId="449D9E3B" w14:textId="77777777" w:rsidR="0023644A" w:rsidRPr="005748E1" w:rsidRDefault="0023644A" w:rsidP="0023644A">
      <w:pPr>
        <w:spacing w:line="240" w:lineRule="auto"/>
        <w:rPr>
          <w:b/>
          <w:szCs w:val="24"/>
          <w:lang w:val="lt-LT"/>
        </w:rPr>
      </w:pPr>
      <w:r w:rsidRPr="005748E1">
        <w:rPr>
          <w:b/>
          <w:noProof/>
          <w:szCs w:val="24"/>
          <w:lang w:val="lt-LT"/>
        </w:rPr>
        <w:t>Pranešimas apie šalutinį poveikį</w:t>
      </w:r>
    </w:p>
    <w:p w14:paraId="6DCC1C98" w14:textId="77777777" w:rsidR="0023644A" w:rsidRPr="00C202DF" w:rsidRDefault="0023644A" w:rsidP="0023644A">
      <w:pPr>
        <w:ind w:right="-29"/>
        <w:rPr>
          <w:lang w:val="lt-LT" w:eastAsia="lt-LT"/>
        </w:rPr>
      </w:pPr>
      <w:r w:rsidRPr="005748E1">
        <w:rPr>
          <w:lang w:val="lt-LT"/>
        </w:rPr>
        <w:t>Jeigu pasireiškė šalutinis poveikis, įskaitant šiame lapelyje nenurodytą, pasakykite gydytojui arba</w:t>
      </w:r>
      <w:r>
        <w:rPr>
          <w:lang w:val="lt-LT"/>
        </w:rPr>
        <w:t xml:space="preserve"> </w:t>
      </w:r>
      <w:r w:rsidRPr="005748E1">
        <w:rPr>
          <w:lang w:val="lt-LT"/>
        </w:rPr>
        <w:t xml:space="preserve">vaistininkui. </w:t>
      </w:r>
      <w:r w:rsidRPr="003D11E8">
        <w:rPr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3D11E8">
        <w:rPr>
          <w:color w:val="0000EE"/>
          <w:u w:val="single"/>
          <w:lang w:val="lt-LT" w:eastAsia="lt-LT"/>
        </w:rPr>
        <w:t>https://vvkt.lrv.lt/lt/</w:t>
      </w:r>
      <w:r w:rsidRPr="003D11E8">
        <w:rPr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saugumą.</w:t>
      </w:r>
      <w:r>
        <w:rPr>
          <w:lang w:val="lt-LT" w:eastAsia="lt-LT"/>
        </w:rPr>
        <w:t xml:space="preserve"> </w:t>
      </w:r>
      <w:r w:rsidRPr="005748E1">
        <w:rPr>
          <w:lang w:val="lt-LT"/>
        </w:rPr>
        <w:t>Pranešdami apie šalutinį poveikį galite mums padėti gauti daugiau informacijos apie šio vaisto saugumą.</w:t>
      </w:r>
    </w:p>
    <w:p w14:paraId="4A71D7EC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C75575F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CA59ACD" w14:textId="77777777" w:rsidR="0023644A" w:rsidRPr="0085618C" w:rsidRDefault="0023644A" w:rsidP="0023644A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11" w:name="_Toc129243143"/>
      <w:bookmarkStart w:id="12" w:name="_Toc129243268"/>
      <w:r w:rsidRPr="0085618C">
        <w:rPr>
          <w:b/>
          <w:snapToGrid/>
          <w:szCs w:val="22"/>
          <w:lang w:val="lt-LT"/>
        </w:rPr>
        <w:t>5.</w:t>
      </w:r>
      <w:r w:rsidRPr="0085618C">
        <w:rPr>
          <w:b/>
          <w:snapToGrid/>
          <w:szCs w:val="22"/>
          <w:lang w:val="lt-LT"/>
        </w:rPr>
        <w:tab/>
      </w:r>
      <w:r w:rsidRPr="0059777C">
        <w:rPr>
          <w:b/>
          <w:snapToGrid/>
          <w:szCs w:val="22"/>
          <w:lang w:val="lt-LT"/>
        </w:rPr>
        <w:t>Kaip laikyti POLYGYNAX</w:t>
      </w:r>
      <w:bookmarkEnd w:id="11"/>
      <w:bookmarkEnd w:id="12"/>
      <w:r w:rsidRPr="00A42970">
        <w:rPr>
          <w:snapToGrid/>
          <w:szCs w:val="22"/>
          <w:lang w:val="lt-LT"/>
        </w:rPr>
        <w:t xml:space="preserve"> </w:t>
      </w:r>
      <w:r w:rsidRPr="00A42970">
        <w:rPr>
          <w:b/>
          <w:snapToGrid/>
          <w:szCs w:val="22"/>
          <w:lang w:val="lt-LT"/>
        </w:rPr>
        <w:t>makšties minkštąsias kapsules</w:t>
      </w:r>
    </w:p>
    <w:p w14:paraId="4830624B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337BD74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59777C">
        <w:rPr>
          <w:noProof/>
          <w:snapToGrid/>
          <w:szCs w:val="22"/>
          <w:lang w:val="lt-LT"/>
        </w:rPr>
        <w:t>Šį vaistą laikykite vaikams nepastebimoje ir nepasiekiamoje vietoje</w:t>
      </w:r>
      <w:r w:rsidRPr="0085618C">
        <w:rPr>
          <w:noProof/>
          <w:snapToGrid/>
          <w:szCs w:val="22"/>
          <w:lang w:val="lt-LT"/>
        </w:rPr>
        <w:t>.</w:t>
      </w:r>
    </w:p>
    <w:p w14:paraId="0C6BB554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85618C">
        <w:rPr>
          <w:snapToGrid/>
          <w:szCs w:val="22"/>
          <w:lang w:val="lt-LT" w:eastAsia="lt-LT"/>
        </w:rPr>
        <w:t xml:space="preserve">Laikyti ne aukštesnėje kaip 25 </w:t>
      </w:r>
      <w:r w:rsidRPr="0085618C">
        <w:rPr>
          <w:snapToGrid/>
          <w:szCs w:val="22"/>
          <w:lang w:val="lt-LT" w:eastAsia="lt-LT"/>
        </w:rPr>
        <w:sym w:font="Symbol" w:char="F0B0"/>
      </w:r>
      <w:r w:rsidRPr="0085618C">
        <w:rPr>
          <w:snapToGrid/>
          <w:szCs w:val="22"/>
          <w:lang w:val="lt-LT" w:eastAsia="lt-LT"/>
        </w:rPr>
        <w:t>C temperatūroje.</w:t>
      </w:r>
    </w:p>
    <w:p w14:paraId="1B18151D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05EEA97C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 xml:space="preserve">Ant dėžutės ir lizdinės plokštelės po „Tinka iki“ nurodytam tinkamumo laikui pasibaigus, </w:t>
      </w:r>
      <w:r>
        <w:rPr>
          <w:noProof/>
          <w:snapToGrid/>
          <w:szCs w:val="22"/>
          <w:lang w:val="lt-LT"/>
        </w:rPr>
        <w:t>šio vaisto</w:t>
      </w:r>
      <w:r w:rsidRPr="0085618C">
        <w:rPr>
          <w:noProof/>
          <w:snapToGrid/>
          <w:szCs w:val="22"/>
          <w:lang w:val="lt-LT"/>
        </w:rPr>
        <w:t xml:space="preserve"> vartoti negalima.</w:t>
      </w:r>
      <w:r w:rsidRPr="00581FC6">
        <w:rPr>
          <w:lang w:val="lt-LT"/>
        </w:rPr>
        <w:t xml:space="preserve"> </w:t>
      </w:r>
      <w:r w:rsidRPr="00E074E4">
        <w:rPr>
          <w:noProof/>
          <w:snapToGrid/>
          <w:szCs w:val="22"/>
          <w:lang w:val="lt-LT"/>
        </w:rPr>
        <w:t>Vaistas tinkamas vartoti iki paskutinės nurodyto mėnesio dienos</w:t>
      </w:r>
      <w:r>
        <w:rPr>
          <w:noProof/>
          <w:snapToGrid/>
          <w:szCs w:val="22"/>
          <w:lang w:val="lt-LT"/>
        </w:rPr>
        <w:t>.</w:t>
      </w:r>
    </w:p>
    <w:p w14:paraId="2FE8A7DE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B7CB91F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E074E4">
        <w:rPr>
          <w:noProof/>
          <w:snapToGrid/>
          <w:szCs w:val="22"/>
          <w:lang w:val="lt-LT"/>
        </w:rPr>
        <w:t>Vaistų negalima išmesti į kanalizaciją arba su buitinėmis atliekomis. Kaip išmesti nereikalingus vaistus, klauskite vaistininko. Šios priemonės padės apsaugoti aplinką</w:t>
      </w:r>
      <w:r w:rsidRPr="0085618C">
        <w:rPr>
          <w:noProof/>
          <w:snapToGrid/>
          <w:szCs w:val="22"/>
          <w:lang w:val="lt-LT"/>
        </w:rPr>
        <w:t>.</w:t>
      </w:r>
    </w:p>
    <w:p w14:paraId="4AD67E57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1B9A7E9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A6B5EC6" w14:textId="77777777" w:rsidR="0023644A" w:rsidRPr="0085618C" w:rsidRDefault="0023644A" w:rsidP="0023644A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13" w:name="_Toc129243144"/>
      <w:bookmarkStart w:id="14" w:name="_Toc129243269"/>
      <w:r w:rsidRPr="0085618C">
        <w:rPr>
          <w:b/>
          <w:snapToGrid/>
          <w:szCs w:val="22"/>
          <w:lang w:val="lt-LT"/>
        </w:rPr>
        <w:t>6.</w:t>
      </w:r>
      <w:r w:rsidRPr="0085618C">
        <w:rPr>
          <w:b/>
          <w:snapToGrid/>
          <w:szCs w:val="22"/>
          <w:lang w:val="lt-LT"/>
        </w:rPr>
        <w:tab/>
      </w:r>
      <w:r w:rsidRPr="0059777C">
        <w:rPr>
          <w:b/>
          <w:snapToGrid/>
          <w:szCs w:val="22"/>
          <w:lang w:val="lt-LT"/>
        </w:rPr>
        <w:t>Pakuotės turinys ir kita informacija</w:t>
      </w:r>
      <w:bookmarkEnd w:id="13"/>
      <w:bookmarkEnd w:id="14"/>
    </w:p>
    <w:p w14:paraId="341FB68F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FAB639E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85618C">
        <w:rPr>
          <w:b/>
          <w:bCs/>
          <w:snapToGrid/>
          <w:szCs w:val="22"/>
          <w:lang w:val="lt-LT"/>
        </w:rPr>
        <w:t>POLYGYNAX sudėtis</w:t>
      </w:r>
    </w:p>
    <w:p w14:paraId="2D196BCE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3499BA5" w14:textId="77777777" w:rsidR="0023644A" w:rsidRPr="0085618C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Veikliosios medžiagos yra </w:t>
      </w:r>
      <w:proofErr w:type="spellStart"/>
      <w:r w:rsidRPr="0085618C">
        <w:rPr>
          <w:snapToGrid/>
          <w:szCs w:val="22"/>
          <w:lang w:val="lt-LT"/>
        </w:rPr>
        <w:t>neomicino</w:t>
      </w:r>
      <w:proofErr w:type="spellEnd"/>
      <w:r w:rsidRPr="0085618C">
        <w:rPr>
          <w:snapToGrid/>
          <w:szCs w:val="22"/>
          <w:lang w:val="lt-LT"/>
        </w:rPr>
        <w:t xml:space="preserve"> sulfatas, </w:t>
      </w:r>
      <w:proofErr w:type="spellStart"/>
      <w:r w:rsidRPr="0085618C">
        <w:rPr>
          <w:snapToGrid/>
          <w:szCs w:val="22"/>
          <w:lang w:val="lt-LT"/>
        </w:rPr>
        <w:t>polimiksino</w:t>
      </w:r>
      <w:proofErr w:type="spellEnd"/>
      <w:r w:rsidRPr="0085618C">
        <w:rPr>
          <w:snapToGrid/>
          <w:szCs w:val="22"/>
          <w:lang w:val="lt-LT"/>
        </w:rPr>
        <w:t xml:space="preserve"> B sulfatas bei </w:t>
      </w:r>
      <w:proofErr w:type="spellStart"/>
      <w:r w:rsidRPr="0085618C">
        <w:rPr>
          <w:snapToGrid/>
          <w:szCs w:val="22"/>
          <w:lang w:val="lt-LT"/>
        </w:rPr>
        <w:t>nistatinas</w:t>
      </w:r>
      <w:proofErr w:type="spellEnd"/>
      <w:r w:rsidRPr="0085618C">
        <w:rPr>
          <w:snapToGrid/>
          <w:szCs w:val="22"/>
          <w:lang w:val="lt-LT"/>
        </w:rPr>
        <w:t xml:space="preserve">. Kiekvienoje </w:t>
      </w:r>
      <w:r>
        <w:rPr>
          <w:snapToGrid/>
          <w:szCs w:val="22"/>
          <w:lang w:val="lt-LT"/>
        </w:rPr>
        <w:t xml:space="preserve">makšties </w:t>
      </w:r>
      <w:r w:rsidRPr="0085618C">
        <w:rPr>
          <w:snapToGrid/>
          <w:szCs w:val="22"/>
          <w:lang w:val="lt-LT"/>
        </w:rPr>
        <w:t>minkštoj</w:t>
      </w:r>
      <w:r>
        <w:rPr>
          <w:snapToGrid/>
          <w:szCs w:val="22"/>
          <w:lang w:val="lt-LT"/>
        </w:rPr>
        <w:t>oj</w:t>
      </w:r>
      <w:r w:rsidRPr="0085618C">
        <w:rPr>
          <w:snapToGrid/>
          <w:szCs w:val="22"/>
          <w:lang w:val="lt-LT"/>
        </w:rPr>
        <w:t xml:space="preserve">e kapsulėje yra 35 000 TV </w:t>
      </w:r>
      <w:proofErr w:type="spellStart"/>
      <w:r w:rsidRPr="0085618C">
        <w:rPr>
          <w:snapToGrid/>
          <w:szCs w:val="22"/>
          <w:lang w:val="lt-LT"/>
        </w:rPr>
        <w:t>neomicino</w:t>
      </w:r>
      <w:proofErr w:type="spellEnd"/>
      <w:r w:rsidRPr="0085618C">
        <w:rPr>
          <w:snapToGrid/>
          <w:szCs w:val="22"/>
          <w:lang w:val="lt-LT"/>
        </w:rPr>
        <w:t xml:space="preserve"> sulfato, 35 000 TV </w:t>
      </w:r>
      <w:proofErr w:type="spellStart"/>
      <w:r w:rsidRPr="0085618C">
        <w:rPr>
          <w:snapToGrid/>
          <w:szCs w:val="22"/>
          <w:lang w:val="lt-LT"/>
        </w:rPr>
        <w:t>polimiksino</w:t>
      </w:r>
      <w:proofErr w:type="spellEnd"/>
      <w:r w:rsidRPr="0085618C">
        <w:rPr>
          <w:snapToGrid/>
          <w:szCs w:val="22"/>
          <w:lang w:val="lt-LT"/>
        </w:rPr>
        <w:t xml:space="preserve"> B sulfato</w:t>
      </w:r>
      <w:r>
        <w:rPr>
          <w:snapToGrid/>
          <w:szCs w:val="22"/>
          <w:lang w:val="lt-LT"/>
        </w:rPr>
        <w:t xml:space="preserve"> ir</w:t>
      </w:r>
      <w:r w:rsidRPr="0085618C">
        <w:rPr>
          <w:snapToGrid/>
          <w:szCs w:val="22"/>
          <w:lang w:val="lt-LT"/>
        </w:rPr>
        <w:t xml:space="preserve"> 100 000 TV </w:t>
      </w:r>
      <w:proofErr w:type="spellStart"/>
      <w:r w:rsidRPr="0085618C">
        <w:rPr>
          <w:snapToGrid/>
          <w:szCs w:val="22"/>
          <w:lang w:val="lt-LT"/>
        </w:rPr>
        <w:t>nistatino</w:t>
      </w:r>
      <w:proofErr w:type="spellEnd"/>
      <w:r w:rsidRPr="0085618C">
        <w:rPr>
          <w:snapToGrid/>
          <w:szCs w:val="22"/>
          <w:lang w:val="lt-LT"/>
        </w:rPr>
        <w:t>.</w:t>
      </w:r>
    </w:p>
    <w:p w14:paraId="79E4F2A9" w14:textId="77777777" w:rsidR="0023644A" w:rsidRPr="0085618C" w:rsidRDefault="0023644A" w:rsidP="0023644A">
      <w:pPr>
        <w:numPr>
          <w:ilvl w:val="0"/>
          <w:numId w:val="1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Pagalbinės medžiagos</w:t>
      </w:r>
      <w:r>
        <w:rPr>
          <w:snapToGrid/>
          <w:szCs w:val="22"/>
          <w:lang w:val="lt-LT"/>
        </w:rPr>
        <w:t>. Kapsulės turinys:</w:t>
      </w:r>
      <w:r w:rsidRPr="0085618C">
        <w:rPr>
          <w:snapToGrid/>
          <w:szCs w:val="22"/>
          <w:lang w:val="lt-LT"/>
        </w:rPr>
        <w:t xml:space="preserve"> </w:t>
      </w:r>
      <w:proofErr w:type="spellStart"/>
      <w:r w:rsidRPr="0085618C">
        <w:rPr>
          <w:snapToGrid/>
          <w:szCs w:val="22"/>
          <w:lang w:val="lt-LT"/>
        </w:rPr>
        <w:t>polietilenglikolio</w:t>
      </w:r>
      <w:proofErr w:type="spellEnd"/>
      <w:r w:rsidRPr="0085618C">
        <w:rPr>
          <w:snapToGrid/>
          <w:szCs w:val="22"/>
          <w:lang w:val="lt-LT"/>
        </w:rPr>
        <w:t xml:space="preserve"> ir etilenglikolio </w:t>
      </w:r>
      <w:proofErr w:type="spellStart"/>
      <w:r w:rsidRPr="0085618C">
        <w:rPr>
          <w:snapToGrid/>
          <w:szCs w:val="22"/>
          <w:lang w:val="lt-LT"/>
        </w:rPr>
        <w:t>palmitostearatai</w:t>
      </w:r>
      <w:proofErr w:type="spellEnd"/>
      <w:r w:rsidRPr="0085618C">
        <w:rPr>
          <w:snapToGrid/>
          <w:szCs w:val="22"/>
          <w:lang w:val="lt-LT"/>
        </w:rPr>
        <w:t xml:space="preserve"> (</w:t>
      </w:r>
      <w:proofErr w:type="spellStart"/>
      <w:r w:rsidRPr="0085618C">
        <w:rPr>
          <w:snapToGrid/>
          <w:szCs w:val="22"/>
          <w:lang w:val="lt-LT"/>
        </w:rPr>
        <w:t>Tefose</w:t>
      </w:r>
      <w:proofErr w:type="spellEnd"/>
      <w:r w:rsidRPr="0085618C">
        <w:rPr>
          <w:snapToGrid/>
          <w:szCs w:val="22"/>
          <w:lang w:val="lt-LT"/>
        </w:rPr>
        <w:t xml:space="preserve"> 63), </w:t>
      </w:r>
      <w:proofErr w:type="spellStart"/>
      <w:r w:rsidRPr="0085618C">
        <w:rPr>
          <w:snapToGrid/>
          <w:szCs w:val="22"/>
          <w:lang w:val="lt-LT"/>
        </w:rPr>
        <w:t>hidrintas</w:t>
      </w:r>
      <w:proofErr w:type="spellEnd"/>
      <w:r w:rsidRPr="0085618C">
        <w:rPr>
          <w:snapToGrid/>
          <w:szCs w:val="22"/>
          <w:lang w:val="lt-LT"/>
        </w:rPr>
        <w:t xml:space="preserve"> sojų aliejus, </w:t>
      </w:r>
      <w:proofErr w:type="spellStart"/>
      <w:r w:rsidRPr="0085618C">
        <w:rPr>
          <w:snapToGrid/>
          <w:szCs w:val="22"/>
          <w:lang w:val="lt-LT"/>
        </w:rPr>
        <w:t>dimetikonas</w:t>
      </w:r>
      <w:proofErr w:type="spellEnd"/>
      <w:r w:rsidRPr="0085618C">
        <w:rPr>
          <w:snapToGrid/>
          <w:szCs w:val="22"/>
          <w:lang w:val="lt-LT"/>
        </w:rPr>
        <w:t xml:space="preserve"> 1000</w:t>
      </w:r>
      <w:r>
        <w:rPr>
          <w:snapToGrid/>
          <w:szCs w:val="22"/>
          <w:lang w:val="lt-LT"/>
        </w:rPr>
        <w:t>. Kapsulės apvalkalas:</w:t>
      </w:r>
      <w:r w:rsidRPr="0085618C">
        <w:rPr>
          <w:snapToGrid/>
          <w:szCs w:val="22"/>
          <w:lang w:val="lt-LT"/>
        </w:rPr>
        <w:t xml:space="preserve"> želatina, </w:t>
      </w:r>
      <w:proofErr w:type="spellStart"/>
      <w:r w:rsidRPr="0085618C">
        <w:rPr>
          <w:snapToGrid/>
          <w:szCs w:val="22"/>
          <w:lang w:val="lt-LT"/>
        </w:rPr>
        <w:t>glicerolis</w:t>
      </w:r>
      <w:proofErr w:type="spellEnd"/>
      <w:r w:rsidRPr="0085618C">
        <w:rPr>
          <w:snapToGrid/>
          <w:szCs w:val="22"/>
          <w:lang w:val="lt-LT"/>
        </w:rPr>
        <w:t>, išgrynintas vanduo.</w:t>
      </w:r>
    </w:p>
    <w:p w14:paraId="5F3E48E9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37FF4DF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85618C">
        <w:rPr>
          <w:b/>
          <w:bCs/>
          <w:snapToGrid/>
          <w:szCs w:val="22"/>
          <w:lang w:val="lt-LT"/>
        </w:rPr>
        <w:t>POLYGYNAX išvaizda ir kiekis pakuotėje</w:t>
      </w:r>
    </w:p>
    <w:p w14:paraId="0EE2143D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22F1A24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85618C">
        <w:rPr>
          <w:snapToGrid/>
          <w:szCs w:val="22"/>
          <w:lang w:val="lt-LT" w:eastAsia="lt-LT"/>
        </w:rPr>
        <w:t>Šviesiai geltonos, ovalios, lygiu paviršiumi makšties minkštos</w:t>
      </w:r>
      <w:r>
        <w:rPr>
          <w:snapToGrid/>
          <w:szCs w:val="22"/>
          <w:lang w:val="lt-LT" w:eastAsia="lt-LT"/>
        </w:rPr>
        <w:t>ios</w:t>
      </w:r>
      <w:r w:rsidRPr="0085618C">
        <w:rPr>
          <w:snapToGrid/>
          <w:szCs w:val="22"/>
          <w:lang w:val="lt-LT" w:eastAsia="lt-LT"/>
        </w:rPr>
        <w:t xml:space="preserve"> kapsulės.</w:t>
      </w:r>
    </w:p>
    <w:p w14:paraId="340A9079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 xml:space="preserve">Pakuotėje yra 6 arba 12 </w:t>
      </w:r>
      <w:r>
        <w:rPr>
          <w:noProof/>
          <w:snapToGrid/>
          <w:szCs w:val="22"/>
          <w:lang w:val="lt-LT"/>
        </w:rPr>
        <w:t xml:space="preserve">makšties </w:t>
      </w:r>
      <w:r w:rsidRPr="0085618C">
        <w:rPr>
          <w:noProof/>
          <w:snapToGrid/>
          <w:szCs w:val="22"/>
          <w:lang w:val="lt-LT"/>
        </w:rPr>
        <w:t>kapsulių.</w:t>
      </w:r>
    </w:p>
    <w:p w14:paraId="1455510B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812D9BB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AA531A">
        <w:rPr>
          <w:b/>
          <w:bCs/>
          <w:snapToGrid/>
          <w:szCs w:val="22"/>
          <w:lang w:val="lt-LT"/>
        </w:rPr>
        <w:t>Registruotojas</w:t>
      </w:r>
    </w:p>
    <w:p w14:paraId="7637A064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F1104C7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proofErr w:type="spellStart"/>
      <w:r w:rsidRPr="0085618C">
        <w:rPr>
          <w:snapToGrid/>
          <w:szCs w:val="22"/>
          <w:lang w:val="lt-LT"/>
        </w:rPr>
        <w:t>Laboratoire</w:t>
      </w:r>
      <w:proofErr w:type="spellEnd"/>
      <w:r w:rsidRPr="0085618C">
        <w:rPr>
          <w:snapToGrid/>
          <w:szCs w:val="22"/>
          <w:lang w:val="lt-LT"/>
        </w:rPr>
        <w:t xml:space="preserve"> INNOTECH INTERNATIONAL</w:t>
      </w:r>
    </w:p>
    <w:p w14:paraId="5AF12839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 xml:space="preserve">22 Avenue Aristide Briand </w:t>
      </w:r>
    </w:p>
    <w:p w14:paraId="70A0FC0E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 xml:space="preserve">94110 Arcueil </w:t>
      </w:r>
    </w:p>
    <w:p w14:paraId="6AF28DC2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>Prancūzija</w:t>
      </w:r>
    </w:p>
    <w:p w14:paraId="7635423C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43AF440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b/>
          <w:noProof/>
          <w:snapToGrid/>
          <w:szCs w:val="22"/>
          <w:lang w:val="lt-LT"/>
        </w:rPr>
      </w:pPr>
      <w:r w:rsidRPr="0085618C">
        <w:rPr>
          <w:b/>
          <w:noProof/>
          <w:snapToGrid/>
          <w:szCs w:val="22"/>
          <w:lang w:val="lt-LT"/>
        </w:rPr>
        <w:t>Gamintojas</w:t>
      </w:r>
    </w:p>
    <w:p w14:paraId="14B93037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F7B764A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INNOTHERA CHOUZY</w:t>
      </w:r>
    </w:p>
    <w:p w14:paraId="5E75B339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85618C">
        <w:rPr>
          <w:snapToGrid/>
          <w:szCs w:val="22"/>
          <w:lang w:val="lt-LT"/>
        </w:rPr>
        <w:t>Rue</w:t>
      </w:r>
      <w:proofErr w:type="spellEnd"/>
      <w:r w:rsidRPr="0085618C">
        <w:rPr>
          <w:snapToGrid/>
          <w:szCs w:val="22"/>
          <w:lang w:val="lt-LT"/>
        </w:rPr>
        <w:t xml:space="preserve"> </w:t>
      </w:r>
      <w:proofErr w:type="spellStart"/>
      <w:r w:rsidRPr="0085618C">
        <w:rPr>
          <w:snapToGrid/>
          <w:szCs w:val="22"/>
          <w:lang w:val="lt-LT"/>
        </w:rPr>
        <w:t>René</w:t>
      </w:r>
      <w:proofErr w:type="spellEnd"/>
      <w:r w:rsidRPr="0085618C">
        <w:rPr>
          <w:snapToGrid/>
          <w:szCs w:val="22"/>
          <w:lang w:val="lt-LT"/>
        </w:rPr>
        <w:t xml:space="preserve"> </w:t>
      </w:r>
      <w:proofErr w:type="spellStart"/>
      <w:r w:rsidRPr="0085618C">
        <w:rPr>
          <w:snapToGrid/>
          <w:szCs w:val="22"/>
          <w:lang w:val="lt-LT"/>
        </w:rPr>
        <w:t>Chantereau</w:t>
      </w:r>
      <w:proofErr w:type="spellEnd"/>
      <w:r>
        <w:rPr>
          <w:snapToGrid/>
          <w:szCs w:val="22"/>
          <w:lang w:val="lt-LT"/>
        </w:rPr>
        <w:t xml:space="preserve">, </w:t>
      </w:r>
      <w:r w:rsidRPr="0085618C">
        <w:rPr>
          <w:noProof/>
          <w:snapToGrid/>
          <w:szCs w:val="22"/>
          <w:lang w:val="lt-LT"/>
        </w:rPr>
        <w:t>Chouzy-sur-Cisse</w:t>
      </w:r>
    </w:p>
    <w:p w14:paraId="64697057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 xml:space="preserve">41150 </w:t>
      </w:r>
      <w:r>
        <w:rPr>
          <w:noProof/>
          <w:snapToGrid/>
          <w:szCs w:val="22"/>
          <w:lang w:val="lt-LT"/>
        </w:rPr>
        <w:t>Valloire</w:t>
      </w:r>
      <w:r w:rsidRPr="0085618C">
        <w:rPr>
          <w:noProof/>
          <w:snapToGrid/>
          <w:szCs w:val="22"/>
          <w:lang w:val="lt-LT"/>
        </w:rPr>
        <w:t>-sur-Cisse, Prancūzija</w:t>
      </w:r>
    </w:p>
    <w:p w14:paraId="3C07A341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C0ED2CD" w14:textId="77777777" w:rsidR="0023644A" w:rsidRPr="00960E94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960E94">
        <w:rPr>
          <w:noProof/>
          <w:snapToGrid/>
          <w:szCs w:val="22"/>
          <w:lang w:val="lt-LT"/>
        </w:rPr>
        <w:t>Jeigu apie šį vaistą norite sužinoti daugiau, kreipkitės į registruotoją.</w:t>
      </w:r>
    </w:p>
    <w:p w14:paraId="2FB9C250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460479D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b/>
          <w:noProof/>
          <w:snapToGrid/>
          <w:szCs w:val="22"/>
          <w:lang w:val="lt-LT"/>
        </w:rPr>
      </w:pPr>
      <w:r w:rsidRPr="0085618C">
        <w:rPr>
          <w:b/>
          <w:bCs/>
          <w:noProof/>
          <w:snapToGrid/>
          <w:szCs w:val="22"/>
          <w:lang w:val="lt-LT"/>
        </w:rPr>
        <w:t>Šis pakuotės lapelis</w:t>
      </w:r>
      <w:r w:rsidRPr="0085618C">
        <w:rPr>
          <w:b/>
          <w:noProof/>
          <w:snapToGrid/>
          <w:szCs w:val="22"/>
          <w:lang w:val="lt-LT"/>
        </w:rPr>
        <w:t xml:space="preserve"> paskutinį kartą </w:t>
      </w:r>
      <w:r>
        <w:rPr>
          <w:b/>
          <w:noProof/>
          <w:snapToGrid/>
          <w:szCs w:val="22"/>
          <w:lang w:val="lt-LT"/>
        </w:rPr>
        <w:t>peržiūrėtas 2025-09-22.</w:t>
      </w:r>
    </w:p>
    <w:p w14:paraId="7CA80F9F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66C52CD" w14:textId="77777777" w:rsidR="0023644A" w:rsidRPr="00AA531A" w:rsidRDefault="0023644A" w:rsidP="0023644A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AA531A">
        <w:rPr>
          <w:lang w:val="lt-LT"/>
        </w:rPr>
        <w:t xml:space="preserve">Išsami informacija apie šį </w:t>
      </w:r>
      <w:r w:rsidRPr="00AA531A">
        <w:rPr>
          <w:szCs w:val="24"/>
          <w:lang w:val="lt-LT"/>
        </w:rPr>
        <w:t>vaistą</w:t>
      </w:r>
      <w:r w:rsidRPr="00AA531A">
        <w:rPr>
          <w:lang w:val="lt-LT"/>
        </w:rPr>
        <w:t xml:space="preserve"> pateikiama Valstybinės vaistų kontrolės tarnybos prie Lietuvos Respublikos sveikatos apsaugos ministerijos tinklalapyje</w:t>
      </w:r>
      <w:r w:rsidRPr="00AA531A">
        <w:rPr>
          <w:i/>
          <w:szCs w:val="24"/>
          <w:lang w:val="lt-LT"/>
        </w:rPr>
        <w:t xml:space="preserve"> </w:t>
      </w:r>
      <w:r w:rsidRPr="00C202DF">
        <w:rPr>
          <w:color w:val="0000EE"/>
          <w:u w:val="single"/>
          <w:lang w:val="lt-LT" w:eastAsia="lt-LT"/>
        </w:rPr>
        <w:t>https://vvkt.lrv.lt/lt/</w:t>
      </w:r>
      <w:r w:rsidRPr="00AA531A">
        <w:rPr>
          <w:lang w:val="lt-LT"/>
        </w:rPr>
        <w:t>.</w:t>
      </w:r>
    </w:p>
    <w:p w14:paraId="14B16F0C" w14:textId="77777777" w:rsidR="0023644A" w:rsidRPr="0085618C" w:rsidRDefault="0023644A" w:rsidP="0023644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5FDDA66" w14:textId="77777777" w:rsidR="0023644A" w:rsidRPr="00083BBE" w:rsidRDefault="0023644A" w:rsidP="0023644A">
      <w:pPr>
        <w:pStyle w:val="Pagrindinistekstas"/>
        <w:overflowPunct w:val="0"/>
        <w:autoSpaceDE w:val="0"/>
        <w:autoSpaceDN w:val="0"/>
        <w:adjustRightInd w:val="0"/>
        <w:textAlignment w:val="baseline"/>
        <w:rPr>
          <w:b/>
          <w:i w:val="0"/>
          <w:color w:val="auto"/>
          <w:szCs w:val="22"/>
          <w:lang w:val="lt-LT"/>
        </w:rPr>
      </w:pPr>
      <w:r>
        <w:rPr>
          <w:b/>
          <w:i w:val="0"/>
          <w:color w:val="auto"/>
          <w:szCs w:val="22"/>
          <w:lang w:val="lt-LT"/>
        </w:rPr>
        <w:t>Sanitarinės edukacijos patarimai</w:t>
      </w:r>
    </w:p>
    <w:p w14:paraId="26B0805B" w14:textId="77777777" w:rsidR="0023644A" w:rsidRPr="00083BBE" w:rsidRDefault="0023644A" w:rsidP="0023644A">
      <w:pPr>
        <w:rPr>
          <w:b/>
          <w:caps/>
          <w:szCs w:val="22"/>
          <w:u w:val="single"/>
          <w:lang w:val="lt-LT"/>
        </w:rPr>
      </w:pPr>
    </w:p>
    <w:p w14:paraId="5C38DBEE" w14:textId="77777777" w:rsidR="0023644A" w:rsidRPr="00083BBE" w:rsidRDefault="0023644A" w:rsidP="0023644A">
      <w:pPr>
        <w:rPr>
          <w:b/>
          <w:bCs/>
          <w:color w:val="231F20"/>
          <w:szCs w:val="22"/>
          <w:lang w:val="lt-LT"/>
        </w:rPr>
      </w:pPr>
      <w:r>
        <w:rPr>
          <w:b/>
          <w:bCs/>
          <w:color w:val="231F20"/>
          <w:szCs w:val="22"/>
          <w:lang w:val="lt-LT"/>
        </w:rPr>
        <w:t>Ką reikia žinoti apie antibiotikus</w:t>
      </w:r>
      <w:r w:rsidRPr="00083BBE">
        <w:rPr>
          <w:b/>
          <w:bCs/>
          <w:color w:val="231F20"/>
          <w:szCs w:val="22"/>
          <w:lang w:val="lt-LT"/>
        </w:rPr>
        <w:t>?</w:t>
      </w:r>
    </w:p>
    <w:p w14:paraId="0C5A0E22" w14:textId="77777777" w:rsidR="0023644A" w:rsidRPr="00083BBE" w:rsidRDefault="0023644A" w:rsidP="0023644A">
      <w:pPr>
        <w:rPr>
          <w:b/>
          <w:bCs/>
          <w:color w:val="231F20"/>
          <w:szCs w:val="22"/>
          <w:lang w:val="lt-LT"/>
        </w:rPr>
      </w:pPr>
    </w:p>
    <w:p w14:paraId="75DCEB91" w14:textId="77777777" w:rsidR="0023644A" w:rsidRDefault="0023644A" w:rsidP="0023644A">
      <w:pPr>
        <w:rPr>
          <w:color w:val="231F20"/>
          <w:szCs w:val="22"/>
          <w:lang w:val="lt-LT"/>
        </w:rPr>
      </w:pPr>
      <w:r>
        <w:rPr>
          <w:color w:val="231F20"/>
          <w:szCs w:val="22"/>
          <w:lang w:val="lt-LT"/>
        </w:rPr>
        <w:t>Antibiotikai veiksmingai kovoja su bakterijų sukelta infekcija. Jie nėra veiksmingi prieš virusų sukeltą infekciją.</w:t>
      </w:r>
    </w:p>
    <w:p w14:paraId="374602E0" w14:textId="77777777" w:rsidR="0023644A" w:rsidRDefault="0023644A" w:rsidP="0023644A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color w:val="231F20"/>
          <w:szCs w:val="22"/>
          <w:lang w:val="lt-LT"/>
        </w:rPr>
        <w:t xml:space="preserve">Gydytojas nusprendė Jums skirti šį antibiotiką, nes jis tinka </w:t>
      </w:r>
      <w:r w:rsidRPr="0085618C">
        <w:rPr>
          <w:snapToGrid/>
          <w:szCs w:val="22"/>
          <w:lang w:val="lt-LT" w:eastAsia="lt-LT"/>
        </w:rPr>
        <w:t>Jūsų ligai gydyti. Net vartojant antibiotikų, bakterijos gali išlikti bei daugintis</w:t>
      </w:r>
      <w:r>
        <w:rPr>
          <w:snapToGrid/>
          <w:szCs w:val="22"/>
          <w:lang w:val="lt-LT" w:eastAsia="lt-LT"/>
        </w:rPr>
        <w:t>. T</w:t>
      </w:r>
      <w:r w:rsidRPr="0085618C">
        <w:rPr>
          <w:snapToGrid/>
          <w:szCs w:val="22"/>
          <w:lang w:val="lt-LT" w:eastAsia="lt-LT"/>
        </w:rPr>
        <w:t>ai vadinama atsparumu, tokia</w:t>
      </w:r>
      <w:r>
        <w:rPr>
          <w:snapToGrid/>
          <w:szCs w:val="22"/>
          <w:lang w:val="lt-LT" w:eastAsia="lt-LT"/>
        </w:rPr>
        <w:t>i</w:t>
      </w:r>
      <w:r w:rsidRPr="0085618C">
        <w:rPr>
          <w:snapToGrid/>
          <w:szCs w:val="22"/>
          <w:lang w:val="lt-LT" w:eastAsia="lt-LT"/>
        </w:rPr>
        <w:t xml:space="preserve">s atvejais gydymas </w:t>
      </w:r>
      <w:r>
        <w:rPr>
          <w:snapToGrid/>
          <w:szCs w:val="22"/>
          <w:lang w:val="lt-LT" w:eastAsia="lt-LT"/>
        </w:rPr>
        <w:t xml:space="preserve">tam tikrais antibiotikais </w:t>
      </w:r>
      <w:r w:rsidRPr="0085618C">
        <w:rPr>
          <w:snapToGrid/>
          <w:szCs w:val="22"/>
          <w:lang w:val="lt-LT" w:eastAsia="lt-LT"/>
        </w:rPr>
        <w:t>gali būti neveiksmingas.</w:t>
      </w:r>
    </w:p>
    <w:p w14:paraId="13E9261E" w14:textId="77777777" w:rsidR="0023644A" w:rsidRPr="00083BBE" w:rsidRDefault="0023644A" w:rsidP="0023644A">
      <w:pPr>
        <w:tabs>
          <w:tab w:val="clear" w:pos="567"/>
        </w:tabs>
        <w:spacing w:line="240" w:lineRule="auto"/>
        <w:rPr>
          <w:color w:val="231F20"/>
          <w:szCs w:val="22"/>
          <w:lang w:val="lt-LT"/>
        </w:rPr>
      </w:pPr>
      <w:r w:rsidRPr="0085618C">
        <w:rPr>
          <w:snapToGrid/>
          <w:szCs w:val="22"/>
          <w:lang w:val="lt-LT" w:eastAsia="lt-LT"/>
        </w:rPr>
        <w:t xml:space="preserve">Atsparumas </w:t>
      </w:r>
      <w:r>
        <w:rPr>
          <w:snapToGrid/>
          <w:szCs w:val="22"/>
          <w:lang w:val="lt-LT" w:eastAsia="lt-LT"/>
        </w:rPr>
        <w:t>atsiranda</w:t>
      </w:r>
      <w:r w:rsidRPr="0085618C">
        <w:rPr>
          <w:snapToGrid/>
          <w:szCs w:val="22"/>
          <w:lang w:val="lt-LT" w:eastAsia="lt-LT"/>
        </w:rPr>
        <w:t>, kai antibiotikais piktnaudžiaujama arba jie vartojami netinkamai.</w:t>
      </w:r>
      <w:r>
        <w:rPr>
          <w:snapToGrid/>
          <w:szCs w:val="22"/>
          <w:lang w:val="lt-LT" w:eastAsia="lt-LT"/>
        </w:rPr>
        <w:t xml:space="preserve"> Gali kilti atsparių bakterijų atsiradimo rizika ir todėl pasveikimas gali trukti ilgiau arba vaistas gali tapti neveiksmingas, jei nesilaikysite nurodymų, susijusių su</w:t>
      </w:r>
      <w:r w:rsidRPr="00083BBE">
        <w:rPr>
          <w:color w:val="231F20"/>
          <w:szCs w:val="22"/>
          <w:lang w:val="lt-LT"/>
        </w:rPr>
        <w:t>:</w:t>
      </w:r>
    </w:p>
    <w:p w14:paraId="7267FF19" w14:textId="77777777" w:rsidR="0023644A" w:rsidRPr="00083BBE" w:rsidRDefault="0023644A" w:rsidP="0023644A">
      <w:pPr>
        <w:numPr>
          <w:ilvl w:val="0"/>
          <w:numId w:val="3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>
        <w:rPr>
          <w:color w:val="231F20"/>
          <w:szCs w:val="22"/>
          <w:lang w:val="lt-LT"/>
        </w:rPr>
        <w:t>doze;</w:t>
      </w:r>
    </w:p>
    <w:p w14:paraId="1AB256BF" w14:textId="77777777" w:rsidR="0023644A" w:rsidRPr="00083BBE" w:rsidRDefault="0023644A" w:rsidP="0023644A">
      <w:pPr>
        <w:numPr>
          <w:ilvl w:val="0"/>
          <w:numId w:val="3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>
        <w:rPr>
          <w:color w:val="231F20"/>
          <w:szCs w:val="22"/>
          <w:lang w:val="lt-LT"/>
        </w:rPr>
        <w:t>vartojimo laiku;</w:t>
      </w:r>
    </w:p>
    <w:p w14:paraId="46B6B02F" w14:textId="77777777" w:rsidR="0023644A" w:rsidRPr="00083BBE" w:rsidRDefault="0023644A" w:rsidP="0023644A">
      <w:pPr>
        <w:numPr>
          <w:ilvl w:val="0"/>
          <w:numId w:val="3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>
        <w:rPr>
          <w:color w:val="231F20"/>
          <w:szCs w:val="22"/>
          <w:lang w:val="lt-LT"/>
        </w:rPr>
        <w:t>gydymo trukme</w:t>
      </w:r>
      <w:r w:rsidRPr="00083BBE">
        <w:rPr>
          <w:color w:val="231F20"/>
          <w:szCs w:val="22"/>
          <w:lang w:val="lt-LT"/>
        </w:rPr>
        <w:t>.</w:t>
      </w:r>
    </w:p>
    <w:p w14:paraId="6991C9E6" w14:textId="77777777" w:rsidR="0023644A" w:rsidRPr="00083BBE" w:rsidRDefault="0023644A" w:rsidP="0023644A">
      <w:pPr>
        <w:rPr>
          <w:color w:val="231F20"/>
          <w:szCs w:val="22"/>
          <w:lang w:val="lt-LT"/>
        </w:rPr>
      </w:pPr>
    </w:p>
    <w:p w14:paraId="18FB59B1" w14:textId="77777777" w:rsidR="0023644A" w:rsidRDefault="0023644A" w:rsidP="0023644A">
      <w:pPr>
        <w:rPr>
          <w:b/>
          <w:color w:val="231F20"/>
          <w:szCs w:val="22"/>
          <w:lang w:val="lt-LT"/>
        </w:rPr>
      </w:pPr>
      <w:r>
        <w:rPr>
          <w:b/>
          <w:color w:val="231F20"/>
          <w:szCs w:val="22"/>
          <w:lang w:val="lt-LT"/>
        </w:rPr>
        <w:t>Dėl to, siekiant, kad šis vaistas išliktų veiksmingas:</w:t>
      </w:r>
    </w:p>
    <w:p w14:paraId="7DACACAB" w14:textId="77777777" w:rsidR="0023644A" w:rsidRDefault="0023644A" w:rsidP="0023644A">
      <w:pPr>
        <w:numPr>
          <w:ilvl w:val="0"/>
          <w:numId w:val="3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>
        <w:rPr>
          <w:color w:val="231F20"/>
          <w:szCs w:val="22"/>
          <w:lang w:val="lt-LT"/>
        </w:rPr>
        <w:t>antibiotikų vartokite tik jei jų skyrė gydytojas;</w:t>
      </w:r>
    </w:p>
    <w:p w14:paraId="6469265D" w14:textId="77777777" w:rsidR="0023644A" w:rsidRPr="00083BBE" w:rsidRDefault="0023644A" w:rsidP="0023644A">
      <w:pPr>
        <w:numPr>
          <w:ilvl w:val="0"/>
          <w:numId w:val="3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>
        <w:rPr>
          <w:color w:val="231F20"/>
          <w:szCs w:val="22"/>
          <w:lang w:val="lt-LT"/>
        </w:rPr>
        <w:t>griežtai laikykitės vartojimo nurodymų;</w:t>
      </w:r>
    </w:p>
    <w:p w14:paraId="30F19C92" w14:textId="77777777" w:rsidR="0023644A" w:rsidRDefault="0023644A" w:rsidP="0023644A">
      <w:pPr>
        <w:numPr>
          <w:ilvl w:val="0"/>
          <w:numId w:val="3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>
        <w:rPr>
          <w:color w:val="231F20"/>
          <w:szCs w:val="22"/>
          <w:lang w:val="lt-LT"/>
        </w:rPr>
        <w:t>niekada nevartokite antibiotikų, jei jie Jums nebuvo skirti, net jei manote, kad gydote panašią ligą;</w:t>
      </w:r>
    </w:p>
    <w:p w14:paraId="40105E43" w14:textId="77777777" w:rsidR="0023644A" w:rsidRPr="00083BBE" w:rsidRDefault="0023644A" w:rsidP="0023644A">
      <w:pPr>
        <w:numPr>
          <w:ilvl w:val="0"/>
          <w:numId w:val="3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>
        <w:rPr>
          <w:color w:val="231F20"/>
          <w:szCs w:val="22"/>
          <w:lang w:val="lt-LT"/>
        </w:rPr>
        <w:t>antibiotiko negalima duoti kitam žmogui, nes jis gali netikti jo ligai;</w:t>
      </w:r>
    </w:p>
    <w:p w14:paraId="4EFD0648" w14:textId="77777777" w:rsidR="0023644A" w:rsidRPr="00B8030E" w:rsidRDefault="0023644A" w:rsidP="0023644A">
      <w:pPr>
        <w:numPr>
          <w:ilvl w:val="0"/>
          <w:numId w:val="3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>
        <w:rPr>
          <w:color w:val="231F20"/>
          <w:szCs w:val="22"/>
          <w:lang w:val="lt-LT"/>
        </w:rPr>
        <w:t>baigus gydymą, visas pradėtas naudoti dėžutes reikia grąžinti vaistininkui, kad jis tinkamai sunaikintų vaistą.</w:t>
      </w:r>
    </w:p>
    <w:p w14:paraId="5BE6DF1B" w14:textId="77777777" w:rsidR="0023644A" w:rsidRDefault="0023644A" w:rsidP="0023644A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231F20"/>
          <w:szCs w:val="22"/>
          <w:lang w:val="lt-LT"/>
        </w:rPr>
      </w:pPr>
    </w:p>
    <w:p w14:paraId="4309FEAD" w14:textId="77777777" w:rsidR="0023644A" w:rsidRPr="00520196" w:rsidRDefault="0023644A" w:rsidP="0023644A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231F20"/>
          <w:szCs w:val="22"/>
          <w:lang w:val="lt-LT"/>
        </w:rPr>
      </w:pPr>
    </w:p>
    <w:p w14:paraId="44FAE0F4" w14:textId="77777777" w:rsidR="00222FED" w:rsidRDefault="00222FED"/>
    <w:sectPr w:rsidR="00222FED" w:rsidSect="0023644A">
      <w:headerReference w:type="default" r:id="rId5"/>
      <w:footerReference w:type="even" r:id="rId6"/>
      <w:footerReference w:type="default" r:id="rId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9288" w14:textId="77777777" w:rsidR="0023644A" w:rsidRDefault="0023644A" w:rsidP="00525F99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24</w:t>
    </w:r>
    <w:r>
      <w:rPr>
        <w:rStyle w:val="Puslapionumeris"/>
        <w:rFonts w:eastAsiaTheme="majorEastAsia"/>
      </w:rPr>
      <w:fldChar w:fldCharType="end"/>
    </w:r>
  </w:p>
  <w:p w14:paraId="6C803E93" w14:textId="77777777" w:rsidR="0023644A" w:rsidRDefault="0023644A" w:rsidP="00525F9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9E25" w14:textId="77777777" w:rsidR="0023644A" w:rsidRDefault="0023644A" w:rsidP="00525F99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13F4" w14:textId="77777777" w:rsidR="0023644A" w:rsidRPr="00C83723" w:rsidRDefault="0023644A" w:rsidP="00525F99">
    <w:pPr>
      <w:pStyle w:val="Antrats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760"/>
    <w:multiLevelType w:val="hybridMultilevel"/>
    <w:tmpl w:val="BA5250F0"/>
    <w:lvl w:ilvl="0" w:tplc="110E895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93604"/>
    <w:multiLevelType w:val="hybridMultilevel"/>
    <w:tmpl w:val="CE88E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C6EDE"/>
    <w:multiLevelType w:val="hybridMultilevel"/>
    <w:tmpl w:val="0C6AA7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662580">
    <w:abstractNumId w:val="0"/>
  </w:num>
  <w:num w:numId="2" w16cid:durableId="1175070623">
    <w:abstractNumId w:val="1"/>
  </w:num>
  <w:num w:numId="3" w16cid:durableId="491605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4A"/>
    <w:rsid w:val="00222FED"/>
    <w:rsid w:val="0023644A"/>
    <w:rsid w:val="0042785C"/>
    <w:rsid w:val="005F173E"/>
    <w:rsid w:val="008B3AD4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78AA"/>
  <w15:chartTrackingRefBased/>
  <w15:docId w15:val="{F0A008C4-F58E-415F-A5E6-2CE2A5E1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644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kern w:val="0"/>
      <w:sz w:val="22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36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36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36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36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36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364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364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364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364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36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36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36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3644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3644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3644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3644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3644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3644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36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6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36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36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36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3644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3644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3644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36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3644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3644A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rsid w:val="0023644A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3644A"/>
    <w:rPr>
      <w:rFonts w:ascii="Times New Roman" w:eastAsia="Times New Roman" w:hAnsi="Times New Roman" w:cs="Times New Roman"/>
      <w:snapToGrid w:val="0"/>
      <w:kern w:val="0"/>
      <w:sz w:val="22"/>
      <w:szCs w:val="20"/>
      <w:lang w:val="en-GB" w:eastAsia="x-none"/>
      <w14:ligatures w14:val="none"/>
    </w:rPr>
  </w:style>
  <w:style w:type="character" w:styleId="Puslapionumeris">
    <w:name w:val="page number"/>
    <w:rsid w:val="0023644A"/>
    <w:rPr>
      <w:rFonts w:cs="Times New Roman"/>
    </w:rPr>
  </w:style>
  <w:style w:type="paragraph" w:styleId="Antrats">
    <w:name w:val="header"/>
    <w:basedOn w:val="prastasis"/>
    <w:link w:val="AntratsDiagrama"/>
    <w:rsid w:val="0023644A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basedOn w:val="Numatytasispastraiposriftas"/>
    <w:link w:val="Antrats"/>
    <w:rsid w:val="0023644A"/>
    <w:rPr>
      <w:rFonts w:ascii="Times New Roman" w:eastAsia="SimSun" w:hAnsi="Times New Roman" w:cs="Times New Roman"/>
      <w:kern w:val="0"/>
      <w:sz w:val="22"/>
      <w:szCs w:val="20"/>
      <w:lang w:val="en-GB" w:eastAsia="zh-CN"/>
      <w14:ligatures w14:val="none"/>
    </w:rPr>
  </w:style>
  <w:style w:type="paragraph" w:styleId="Pagrindinistekstas">
    <w:name w:val="Body Text"/>
    <w:basedOn w:val="prastasis"/>
    <w:link w:val="PagrindinistekstasDiagrama"/>
    <w:rsid w:val="0023644A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644A"/>
    <w:rPr>
      <w:rFonts w:ascii="Times New Roman" w:eastAsia="SimSun" w:hAnsi="Times New Roman" w:cs="Times New Roman"/>
      <w:i/>
      <w:color w:val="008000"/>
      <w:kern w:val="0"/>
      <w:sz w:val="22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6610</Words>
  <Characters>3768</Characters>
  <Application>Microsoft Office Word</Application>
  <DocSecurity>0</DocSecurity>
  <Lines>31</Lines>
  <Paragraphs>20</Paragraphs>
  <ScaleCrop>false</ScaleCrop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2025-09-22T13:23:00Z</dcterms:created>
  <dcterms:modified xsi:type="dcterms:W3CDTF">2025-09-22T13:24:00Z</dcterms:modified>
</cp:coreProperties>
</file>