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66" w:rsidRPr="004C65FC" w:rsidRDefault="00034A66" w:rsidP="00034A66">
      <w:pPr>
        <w:jc w:val="center"/>
        <w:rPr>
          <w:b/>
          <w:sz w:val="22"/>
          <w:szCs w:val="22"/>
        </w:rPr>
      </w:pPr>
      <w:bookmarkStart w:id="0" w:name="_Toc129243138"/>
      <w:bookmarkStart w:id="1" w:name="_Toc129243263"/>
      <w:r w:rsidRPr="004C65FC">
        <w:rPr>
          <w:b/>
          <w:sz w:val="22"/>
          <w:szCs w:val="22"/>
        </w:rPr>
        <w:t>PAKUOTĖS LAPELIS: INFORMACIJA VARTOTOJUI</w:t>
      </w:r>
      <w:bookmarkEnd w:id="0"/>
      <w:bookmarkEnd w:id="1"/>
    </w:p>
    <w:p w:rsidR="00034A66" w:rsidRPr="004C65FC" w:rsidRDefault="00034A66" w:rsidP="00034A66">
      <w:pPr>
        <w:jc w:val="center"/>
        <w:rPr>
          <w:b/>
          <w:sz w:val="22"/>
          <w:szCs w:val="22"/>
        </w:rPr>
      </w:pPr>
    </w:p>
    <w:p w:rsidR="00034A66" w:rsidRPr="004C65FC" w:rsidRDefault="00034A66" w:rsidP="00034A66">
      <w:pPr>
        <w:jc w:val="center"/>
        <w:rPr>
          <w:b/>
          <w:sz w:val="22"/>
          <w:szCs w:val="22"/>
        </w:rPr>
      </w:pPr>
      <w:proofErr w:type="spellStart"/>
      <w:r w:rsidRPr="004C65FC">
        <w:rPr>
          <w:b/>
          <w:sz w:val="22"/>
          <w:szCs w:val="22"/>
        </w:rPr>
        <w:t>Magnesium-Diasporal</w:t>
      </w:r>
      <w:proofErr w:type="spellEnd"/>
      <w:r w:rsidRPr="004C65FC">
        <w:rPr>
          <w:b/>
          <w:sz w:val="22"/>
          <w:szCs w:val="22"/>
        </w:rPr>
        <w:t xml:space="preserve"> </w:t>
      </w:r>
      <w:proofErr w:type="spellStart"/>
      <w:r w:rsidRPr="004C65FC">
        <w:rPr>
          <w:b/>
          <w:sz w:val="22"/>
          <w:szCs w:val="22"/>
        </w:rPr>
        <w:t>Orange</w:t>
      </w:r>
      <w:proofErr w:type="spellEnd"/>
      <w:r w:rsidRPr="004C65FC">
        <w:rPr>
          <w:b/>
          <w:sz w:val="22"/>
          <w:szCs w:val="22"/>
        </w:rPr>
        <w:t xml:space="preserve"> 98,6 mg kietosios pastilės</w:t>
      </w:r>
    </w:p>
    <w:p w:rsidR="00034A66" w:rsidRPr="004C65FC" w:rsidRDefault="00034A66" w:rsidP="00034A66">
      <w:pPr>
        <w:jc w:val="center"/>
        <w:rPr>
          <w:sz w:val="22"/>
          <w:szCs w:val="22"/>
        </w:rPr>
      </w:pPr>
      <w:r w:rsidRPr="004C65FC">
        <w:rPr>
          <w:sz w:val="22"/>
          <w:szCs w:val="22"/>
        </w:rPr>
        <w:t>Magnis (bevandenio magnio citrato pavidalo)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b/>
          <w:sz w:val="22"/>
          <w:szCs w:val="22"/>
        </w:rPr>
      </w:pPr>
      <w:r w:rsidRPr="004C65FC">
        <w:rPr>
          <w:b/>
          <w:sz w:val="22"/>
          <w:szCs w:val="22"/>
        </w:rPr>
        <w:t>Atidžiai perskaitykite visą šį lapelį, nes jame pateikiama Jums svarbi informacija.</w:t>
      </w: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-</w:t>
      </w:r>
      <w:r w:rsidRPr="004C65FC">
        <w:rPr>
          <w:sz w:val="22"/>
          <w:szCs w:val="22"/>
        </w:rPr>
        <w:tab/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 xml:space="preserve"> galima įsigyti be recepto, tačiau jį reikia vartoti tiksliai, kaip nurodyta, kad poveikis būtų geriausias.</w:t>
      </w: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-</w:t>
      </w:r>
      <w:r w:rsidRPr="004C65FC">
        <w:rPr>
          <w:sz w:val="22"/>
          <w:szCs w:val="22"/>
        </w:rPr>
        <w:tab/>
        <w:t>Neišmeskite šio lapelio, nes vėl gali prireikti jį perskaityti.</w:t>
      </w: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-</w:t>
      </w:r>
      <w:r w:rsidRPr="004C65FC">
        <w:rPr>
          <w:sz w:val="22"/>
          <w:szCs w:val="22"/>
        </w:rPr>
        <w:tab/>
        <w:t>Jeigu norite sužinoti daugiau arba pasitarti, kreipkitės į vaistininką.</w:t>
      </w: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-</w:t>
      </w:r>
      <w:r w:rsidRPr="004C65FC">
        <w:rPr>
          <w:sz w:val="22"/>
          <w:szCs w:val="22"/>
        </w:rPr>
        <w:tab/>
        <w:t>Jeigu simptomai pasunkėjo arba nepalengvėjo, kreipkitės į gydytoją.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b/>
          <w:sz w:val="22"/>
          <w:szCs w:val="22"/>
        </w:rPr>
      </w:pPr>
      <w:r w:rsidRPr="004C65FC">
        <w:rPr>
          <w:b/>
          <w:sz w:val="22"/>
          <w:szCs w:val="22"/>
        </w:rPr>
        <w:t>Lapelio turinys</w:t>
      </w: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1.</w:t>
      </w:r>
      <w:r w:rsidRPr="004C65FC">
        <w:rPr>
          <w:sz w:val="22"/>
          <w:szCs w:val="22"/>
        </w:rPr>
        <w:tab/>
        <w:t xml:space="preserve">Kas yra </w:t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 xml:space="preserve"> ir kam jis vartojamas</w:t>
      </w: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2.</w:t>
      </w:r>
      <w:r w:rsidRPr="004C65FC">
        <w:rPr>
          <w:sz w:val="22"/>
          <w:szCs w:val="22"/>
        </w:rPr>
        <w:tab/>
        <w:t xml:space="preserve">Kas žinotina prieš vartojant </w:t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3.</w:t>
      </w:r>
      <w:r w:rsidRPr="004C65FC">
        <w:rPr>
          <w:sz w:val="22"/>
          <w:szCs w:val="22"/>
        </w:rPr>
        <w:tab/>
        <w:t xml:space="preserve">Kaip vartoti </w:t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4.</w:t>
      </w:r>
      <w:r w:rsidRPr="004C65FC">
        <w:rPr>
          <w:sz w:val="22"/>
          <w:szCs w:val="22"/>
        </w:rPr>
        <w:tab/>
        <w:t>Galimas šalutinis poveikis</w:t>
      </w: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5.</w:t>
      </w:r>
      <w:r w:rsidRPr="004C65FC">
        <w:rPr>
          <w:sz w:val="22"/>
          <w:szCs w:val="22"/>
        </w:rPr>
        <w:tab/>
        <w:t xml:space="preserve">Kaip laikyti </w:t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6.</w:t>
      </w:r>
      <w:r w:rsidRPr="004C65FC">
        <w:rPr>
          <w:sz w:val="22"/>
          <w:szCs w:val="22"/>
        </w:rPr>
        <w:tab/>
        <w:t>Kita informacija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ind w:left="540" w:hanging="540"/>
        <w:rPr>
          <w:b/>
          <w:sz w:val="22"/>
          <w:szCs w:val="22"/>
        </w:rPr>
      </w:pPr>
      <w:bookmarkStart w:id="2" w:name="_Toc129243139"/>
      <w:bookmarkStart w:id="3" w:name="_Toc129243264"/>
      <w:r w:rsidRPr="004C65FC">
        <w:rPr>
          <w:b/>
          <w:sz w:val="22"/>
          <w:szCs w:val="22"/>
        </w:rPr>
        <w:t>1.</w:t>
      </w:r>
      <w:r w:rsidRPr="004C65FC">
        <w:rPr>
          <w:b/>
          <w:sz w:val="22"/>
          <w:szCs w:val="22"/>
        </w:rPr>
        <w:tab/>
        <w:t xml:space="preserve">KAS YRA MAGNESIUM-DIASPORAL ORANGE IR </w:t>
      </w:r>
      <w:smartTag w:uri="urn:schemas-tilde-lv/tildestengine" w:element="firmas">
        <w:r w:rsidRPr="004C65FC">
          <w:rPr>
            <w:b/>
            <w:sz w:val="22"/>
            <w:szCs w:val="22"/>
          </w:rPr>
          <w:t>KAM</w:t>
        </w:r>
      </w:smartTag>
      <w:r w:rsidRPr="004C65FC">
        <w:rPr>
          <w:b/>
          <w:sz w:val="22"/>
          <w:szCs w:val="22"/>
        </w:rPr>
        <w:t xml:space="preserve"> JIS VARTOJAMAS</w:t>
      </w:r>
      <w:bookmarkEnd w:id="2"/>
      <w:bookmarkEnd w:id="3"/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 xml:space="preserve"> yra mineralinių medžiagų preparatas.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 xml:space="preserve"> vartojamas diagnozavus magnio trūkumą organizme, kai dėl to sutrinka raumenų funkcija (atsiranda nervų ir raumenų sutrikimų, blauzdų raumenų mėšlungis).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ind w:left="540" w:hanging="540"/>
        <w:rPr>
          <w:b/>
          <w:sz w:val="22"/>
          <w:szCs w:val="22"/>
        </w:rPr>
      </w:pPr>
      <w:bookmarkStart w:id="4" w:name="_Toc129243140"/>
      <w:bookmarkStart w:id="5" w:name="_Toc129243265"/>
      <w:r w:rsidRPr="004C65FC">
        <w:rPr>
          <w:b/>
          <w:sz w:val="22"/>
          <w:szCs w:val="22"/>
        </w:rPr>
        <w:t>2.</w:t>
      </w:r>
      <w:r w:rsidRPr="004C65FC">
        <w:rPr>
          <w:b/>
          <w:sz w:val="22"/>
          <w:szCs w:val="22"/>
        </w:rPr>
        <w:tab/>
        <w:t xml:space="preserve">KAS ŽINOTINA PRIEŠ VARTOJANT </w:t>
      </w:r>
      <w:bookmarkEnd w:id="4"/>
      <w:bookmarkEnd w:id="5"/>
      <w:r w:rsidRPr="004C65FC">
        <w:rPr>
          <w:b/>
          <w:caps/>
          <w:sz w:val="22"/>
          <w:szCs w:val="22"/>
        </w:rPr>
        <w:t>Magnesium-Diasporal Orange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b/>
          <w:sz w:val="22"/>
          <w:szCs w:val="22"/>
        </w:rPr>
      </w:pPr>
      <w:proofErr w:type="spellStart"/>
      <w:r w:rsidRPr="004C65FC">
        <w:rPr>
          <w:b/>
          <w:sz w:val="22"/>
          <w:szCs w:val="22"/>
        </w:rPr>
        <w:t>Magnesium-Diasporal</w:t>
      </w:r>
      <w:proofErr w:type="spellEnd"/>
      <w:r w:rsidRPr="004C65FC">
        <w:rPr>
          <w:b/>
          <w:sz w:val="22"/>
          <w:szCs w:val="22"/>
        </w:rPr>
        <w:t xml:space="preserve"> </w:t>
      </w:r>
      <w:proofErr w:type="spellStart"/>
      <w:r w:rsidRPr="004C65FC">
        <w:rPr>
          <w:b/>
          <w:sz w:val="22"/>
          <w:szCs w:val="22"/>
        </w:rPr>
        <w:t>Orange</w:t>
      </w:r>
      <w:proofErr w:type="spellEnd"/>
      <w:r w:rsidRPr="004C65FC">
        <w:rPr>
          <w:b/>
          <w:sz w:val="22"/>
          <w:szCs w:val="22"/>
        </w:rPr>
        <w:t xml:space="preserve"> vartoti negalima:</w:t>
      </w: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-</w:t>
      </w:r>
      <w:r w:rsidRPr="004C65FC">
        <w:rPr>
          <w:sz w:val="22"/>
          <w:szCs w:val="22"/>
        </w:rPr>
        <w:tab/>
        <w:t xml:space="preserve">jeigu sergate sunkiu inkstų funkcijos sutrikimu arba yra širdies laidžiosios sistemos sutrikimų, dėl kurių pradeda rečiau plakti širdis (pasireiškia </w:t>
      </w:r>
      <w:proofErr w:type="spellStart"/>
      <w:r w:rsidRPr="004C65FC">
        <w:rPr>
          <w:sz w:val="22"/>
          <w:szCs w:val="22"/>
        </w:rPr>
        <w:t>bradikardija</w:t>
      </w:r>
      <w:proofErr w:type="spellEnd"/>
      <w:r w:rsidRPr="004C65FC">
        <w:rPr>
          <w:sz w:val="22"/>
          <w:szCs w:val="22"/>
        </w:rPr>
        <w:t>);</w:t>
      </w: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-</w:t>
      </w:r>
      <w:r w:rsidRPr="004C65FC">
        <w:rPr>
          <w:sz w:val="22"/>
          <w:szCs w:val="22"/>
        </w:rPr>
        <w:tab/>
        <w:t xml:space="preserve">yra alergija (padidėjęs jautrumas) magnio citratui arba bet kuriai pagalbinei </w:t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 xml:space="preserve"> medžiagai;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b/>
          <w:sz w:val="22"/>
          <w:szCs w:val="22"/>
        </w:rPr>
      </w:pPr>
      <w:r w:rsidRPr="004C65FC">
        <w:rPr>
          <w:b/>
          <w:sz w:val="22"/>
          <w:szCs w:val="22"/>
        </w:rPr>
        <w:t xml:space="preserve">Specialių atsargumo priemonių vartojant </w:t>
      </w:r>
      <w:proofErr w:type="spellStart"/>
      <w:r w:rsidRPr="004C65FC">
        <w:rPr>
          <w:b/>
          <w:sz w:val="22"/>
          <w:szCs w:val="22"/>
        </w:rPr>
        <w:t>Magnesium-Diasporal</w:t>
      </w:r>
      <w:proofErr w:type="spellEnd"/>
      <w:r w:rsidRPr="004C65FC">
        <w:rPr>
          <w:b/>
          <w:sz w:val="22"/>
          <w:szCs w:val="22"/>
        </w:rPr>
        <w:t xml:space="preserve"> </w:t>
      </w:r>
      <w:proofErr w:type="spellStart"/>
      <w:r w:rsidRPr="004C65FC">
        <w:rPr>
          <w:b/>
          <w:sz w:val="22"/>
          <w:szCs w:val="22"/>
        </w:rPr>
        <w:t>Orange</w:t>
      </w:r>
      <w:proofErr w:type="spellEnd"/>
      <w:r w:rsidRPr="004C65FC">
        <w:rPr>
          <w:b/>
          <w:sz w:val="22"/>
          <w:szCs w:val="22"/>
        </w:rPr>
        <w:t xml:space="preserve"> reikia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 xml:space="preserve">Ilgalaikis didelių </w:t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 xml:space="preserve"> dozių vartojimas dėl sudėtyje esančio cukraus (sacharozės) gali pakenkti dantims (sukelti ėduonį). </w:t>
      </w:r>
    </w:p>
    <w:p w:rsidR="00034A66" w:rsidRPr="004C65FC" w:rsidRDefault="00034A66" w:rsidP="00034A66">
      <w:pPr>
        <w:rPr>
          <w:b/>
          <w:sz w:val="22"/>
          <w:szCs w:val="22"/>
        </w:rPr>
      </w:pPr>
    </w:p>
    <w:p w:rsidR="00034A66" w:rsidRPr="004C65FC" w:rsidRDefault="00034A66" w:rsidP="00034A66">
      <w:pPr>
        <w:rPr>
          <w:b/>
          <w:sz w:val="22"/>
          <w:szCs w:val="22"/>
        </w:rPr>
      </w:pPr>
      <w:r w:rsidRPr="004C65FC">
        <w:rPr>
          <w:b/>
          <w:sz w:val="22"/>
          <w:szCs w:val="22"/>
        </w:rPr>
        <w:t>Kitų vaistų vartojimas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 xml:space="preserve">Jeigu vartojate arba neseniai vartojote kitų vaistų, įskaitant įsigytus be recepto, pasakykite gydytojui arba vaistininkui. Vartojant </w:t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>, gali pasikeisti kartu vartojamų išvardytų vaistų ar išvardytų grupių vaistų veikimas.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•</w:t>
      </w:r>
      <w:r w:rsidRPr="004C65FC">
        <w:rPr>
          <w:sz w:val="22"/>
          <w:szCs w:val="22"/>
        </w:rPr>
        <w:tab/>
        <w:t xml:space="preserve">Magnio druskos gali sustiprinti nervo raumens jungtį blokuojančių vaistų veikimą (pvz.: </w:t>
      </w:r>
      <w:proofErr w:type="spellStart"/>
      <w:r w:rsidRPr="004C65FC">
        <w:rPr>
          <w:sz w:val="22"/>
          <w:szCs w:val="22"/>
        </w:rPr>
        <w:t>pankuronio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bromido</w:t>
      </w:r>
      <w:proofErr w:type="spellEnd"/>
      <w:r w:rsidRPr="004C65FC">
        <w:rPr>
          <w:sz w:val="22"/>
          <w:szCs w:val="22"/>
        </w:rPr>
        <w:t xml:space="preserve">, </w:t>
      </w:r>
      <w:proofErr w:type="spellStart"/>
      <w:r w:rsidRPr="004C65FC">
        <w:rPr>
          <w:sz w:val="22"/>
          <w:szCs w:val="22"/>
        </w:rPr>
        <w:t>sukcinilcholino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halogenido</w:t>
      </w:r>
      <w:proofErr w:type="spellEnd"/>
      <w:r w:rsidRPr="004C65FC">
        <w:rPr>
          <w:sz w:val="22"/>
          <w:szCs w:val="22"/>
        </w:rPr>
        <w:t>).</w:t>
      </w: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•</w:t>
      </w:r>
      <w:r w:rsidRPr="004C65FC">
        <w:rPr>
          <w:sz w:val="22"/>
          <w:szCs w:val="22"/>
        </w:rPr>
        <w:tab/>
      </w:r>
      <w:proofErr w:type="spellStart"/>
      <w:r w:rsidRPr="004C65FC">
        <w:rPr>
          <w:sz w:val="22"/>
          <w:szCs w:val="22"/>
        </w:rPr>
        <w:t>Aminoglikozidų</w:t>
      </w:r>
      <w:proofErr w:type="spellEnd"/>
      <w:r w:rsidRPr="004C65FC">
        <w:rPr>
          <w:sz w:val="22"/>
          <w:szCs w:val="22"/>
        </w:rPr>
        <w:t xml:space="preserve"> grupės antibiotikai, </w:t>
      </w:r>
      <w:proofErr w:type="spellStart"/>
      <w:r w:rsidRPr="004C65FC">
        <w:rPr>
          <w:sz w:val="22"/>
          <w:szCs w:val="22"/>
        </w:rPr>
        <w:t>cisplatina</w:t>
      </w:r>
      <w:proofErr w:type="spellEnd"/>
      <w:r w:rsidRPr="004C65FC">
        <w:rPr>
          <w:sz w:val="22"/>
          <w:szCs w:val="22"/>
        </w:rPr>
        <w:t xml:space="preserve"> ir </w:t>
      </w:r>
      <w:proofErr w:type="spellStart"/>
      <w:r w:rsidRPr="004C65FC">
        <w:rPr>
          <w:sz w:val="22"/>
          <w:szCs w:val="22"/>
        </w:rPr>
        <w:t>ciklosporinas</w:t>
      </w:r>
      <w:proofErr w:type="spellEnd"/>
      <w:r w:rsidRPr="004C65FC">
        <w:rPr>
          <w:sz w:val="22"/>
          <w:szCs w:val="22"/>
        </w:rPr>
        <w:t xml:space="preserve"> A greitina šalinimą iš organizmo.</w:t>
      </w: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•</w:t>
      </w:r>
      <w:r w:rsidRPr="004C65FC">
        <w:rPr>
          <w:sz w:val="22"/>
          <w:szCs w:val="22"/>
        </w:rPr>
        <w:tab/>
        <w:t xml:space="preserve">Magnis, geležis, fluoridai ir </w:t>
      </w:r>
      <w:proofErr w:type="spellStart"/>
      <w:r w:rsidRPr="004C65FC">
        <w:rPr>
          <w:sz w:val="22"/>
          <w:szCs w:val="22"/>
        </w:rPr>
        <w:t>tetraciklinas</w:t>
      </w:r>
      <w:proofErr w:type="spellEnd"/>
      <w:r w:rsidRPr="004C65FC">
        <w:rPr>
          <w:sz w:val="22"/>
          <w:szCs w:val="22"/>
        </w:rPr>
        <w:t xml:space="preserve"> slopina vieni kitų absorbciją.</w:t>
      </w:r>
    </w:p>
    <w:p w:rsidR="00034A66" w:rsidRPr="004C65FC" w:rsidRDefault="00034A66" w:rsidP="00034A66">
      <w:pPr>
        <w:ind w:left="540"/>
        <w:rPr>
          <w:sz w:val="22"/>
          <w:szCs w:val="22"/>
        </w:rPr>
      </w:pPr>
      <w:r w:rsidRPr="004C65FC">
        <w:rPr>
          <w:sz w:val="22"/>
          <w:szCs w:val="22"/>
        </w:rPr>
        <w:t xml:space="preserve">Dėl to tarp </w:t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 xml:space="preserve"> ir preparatų, kurių sudėtyje yra anksčiau išvardytų medžiagų, vartojimo turi būti 2</w:t>
      </w:r>
      <w:r w:rsidRPr="004C65FC">
        <w:rPr>
          <w:sz w:val="22"/>
          <w:szCs w:val="22"/>
        </w:rPr>
        <w:noBreakHyphen/>
        <w:t>3 valandų pertrauka.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b/>
          <w:sz w:val="22"/>
          <w:szCs w:val="22"/>
        </w:rPr>
      </w:pPr>
      <w:r w:rsidRPr="004C65FC">
        <w:rPr>
          <w:b/>
          <w:sz w:val="22"/>
          <w:szCs w:val="22"/>
        </w:rPr>
        <w:t>Nėštumas ir žindymo laikotarpis</w:t>
      </w:r>
    </w:p>
    <w:p w:rsidR="00034A66" w:rsidRPr="004C65FC" w:rsidRDefault="00034A66" w:rsidP="00034A66">
      <w:pPr>
        <w:rPr>
          <w:b/>
          <w:sz w:val="22"/>
          <w:szCs w:val="22"/>
        </w:rPr>
      </w:pPr>
      <w:r w:rsidRPr="004C65FC">
        <w:rPr>
          <w:b/>
          <w:sz w:val="22"/>
          <w:szCs w:val="22"/>
        </w:rPr>
        <w:t xml:space="preserve">Prieš vartojant bet kokį vaistą būtina pasitarti su gydytoju arba </w:t>
      </w:r>
      <w:proofErr w:type="spellStart"/>
      <w:r w:rsidRPr="004C65FC">
        <w:rPr>
          <w:b/>
          <w:sz w:val="22"/>
          <w:szCs w:val="22"/>
        </w:rPr>
        <w:t>vaistinku</w:t>
      </w:r>
      <w:proofErr w:type="spellEnd"/>
      <w:r w:rsidRPr="004C65FC">
        <w:rPr>
          <w:b/>
          <w:sz w:val="22"/>
          <w:szCs w:val="22"/>
        </w:rPr>
        <w:t>.</w:t>
      </w:r>
    </w:p>
    <w:p w:rsidR="00034A66" w:rsidRPr="004C65FC" w:rsidRDefault="00034A66" w:rsidP="00034A66">
      <w:pPr>
        <w:rPr>
          <w:sz w:val="22"/>
          <w:szCs w:val="22"/>
        </w:rPr>
      </w:pP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 xml:space="preserve"> pastiles galima vartoti nėštumo metu ar žindymo laikotarpiu.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b/>
          <w:sz w:val="22"/>
          <w:szCs w:val="22"/>
        </w:rPr>
      </w:pPr>
      <w:r w:rsidRPr="004C65FC">
        <w:rPr>
          <w:b/>
          <w:sz w:val="22"/>
          <w:szCs w:val="22"/>
        </w:rPr>
        <w:t>Vairavimas ir mechanizmų valdymas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>Jokių papildomų atsargumo priemonių nereikia.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Default="00034A66" w:rsidP="00034A66">
      <w:pPr>
        <w:rPr>
          <w:b/>
          <w:sz w:val="22"/>
          <w:szCs w:val="22"/>
        </w:rPr>
      </w:pPr>
      <w:proofErr w:type="spellStart"/>
      <w:r w:rsidRPr="00AA696A">
        <w:rPr>
          <w:b/>
          <w:sz w:val="22"/>
          <w:szCs w:val="22"/>
        </w:rPr>
        <w:t>Magnesium</w:t>
      </w:r>
      <w:proofErr w:type="spellEnd"/>
      <w:r w:rsidRPr="00AA696A">
        <w:rPr>
          <w:b/>
          <w:sz w:val="22"/>
          <w:szCs w:val="22"/>
        </w:rPr>
        <w:t xml:space="preserve"> – </w:t>
      </w:r>
      <w:proofErr w:type="spellStart"/>
      <w:r w:rsidRPr="00AA696A">
        <w:rPr>
          <w:b/>
          <w:sz w:val="22"/>
          <w:szCs w:val="22"/>
        </w:rPr>
        <w:t>Diasporal</w:t>
      </w:r>
      <w:proofErr w:type="spellEnd"/>
      <w:r w:rsidRPr="00AA696A">
        <w:rPr>
          <w:b/>
          <w:sz w:val="22"/>
          <w:szCs w:val="22"/>
        </w:rPr>
        <w:t xml:space="preserve"> sudėtyje yra sacharozės ir natrio</w:t>
      </w:r>
      <w:r>
        <w:rPr>
          <w:b/>
          <w:sz w:val="22"/>
          <w:szCs w:val="22"/>
        </w:rPr>
        <w:t>.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034A66" w:rsidRPr="004C65FC" w:rsidRDefault="00034A66" w:rsidP="00034A66">
      <w:pPr>
        <w:rPr>
          <w:sz w:val="22"/>
          <w:szCs w:val="22"/>
        </w:rPr>
      </w:pPr>
      <w:r w:rsidRPr="00A05F26">
        <w:rPr>
          <w:sz w:val="22"/>
          <w:szCs w:val="22"/>
        </w:rPr>
        <w:t xml:space="preserve">Šio vaisto </w:t>
      </w:r>
      <w:r>
        <w:rPr>
          <w:sz w:val="22"/>
          <w:szCs w:val="22"/>
        </w:rPr>
        <w:t>kiekvienoje kietojoje pastilėje</w:t>
      </w:r>
      <w:r w:rsidRPr="00A05F26">
        <w:rPr>
          <w:sz w:val="22"/>
          <w:szCs w:val="22"/>
        </w:rPr>
        <w:t xml:space="preserve"> yra</w:t>
      </w:r>
      <w:r>
        <w:rPr>
          <w:sz w:val="22"/>
          <w:szCs w:val="22"/>
        </w:rPr>
        <w:t xml:space="preserve"> </w:t>
      </w:r>
      <w:r w:rsidRPr="00A05F26">
        <w:rPr>
          <w:sz w:val="22"/>
          <w:szCs w:val="22"/>
        </w:rPr>
        <w:t>mažiau kaip 1</w:t>
      </w:r>
      <w:r>
        <w:rPr>
          <w:sz w:val="22"/>
          <w:szCs w:val="22"/>
        </w:rPr>
        <w:t> </w:t>
      </w:r>
      <w:proofErr w:type="spellStart"/>
      <w:r w:rsidRPr="00A05F26">
        <w:rPr>
          <w:sz w:val="22"/>
          <w:szCs w:val="22"/>
        </w:rPr>
        <w:t>mmol</w:t>
      </w:r>
      <w:proofErr w:type="spellEnd"/>
      <w:r w:rsidRPr="00A05F26">
        <w:rPr>
          <w:sz w:val="22"/>
          <w:szCs w:val="22"/>
        </w:rPr>
        <w:t xml:space="preserve"> (23</w:t>
      </w:r>
      <w:r>
        <w:rPr>
          <w:sz w:val="22"/>
          <w:szCs w:val="22"/>
        </w:rPr>
        <w:t> </w:t>
      </w:r>
      <w:r w:rsidRPr="00A05F26">
        <w:rPr>
          <w:sz w:val="22"/>
          <w:szCs w:val="22"/>
        </w:rPr>
        <w:t xml:space="preserve">mg) natrio, </w:t>
      </w:r>
      <w:proofErr w:type="spellStart"/>
      <w:r w:rsidRPr="00A05F26">
        <w:rPr>
          <w:sz w:val="22"/>
          <w:szCs w:val="22"/>
        </w:rPr>
        <w:t>t.y</w:t>
      </w:r>
      <w:proofErr w:type="spellEnd"/>
      <w:r w:rsidRPr="00A05F26">
        <w:rPr>
          <w:sz w:val="22"/>
          <w:szCs w:val="22"/>
        </w:rPr>
        <w:t>. jis beveik</w:t>
      </w:r>
      <w:r>
        <w:rPr>
          <w:sz w:val="22"/>
          <w:szCs w:val="22"/>
        </w:rPr>
        <w:t xml:space="preserve"> </w:t>
      </w:r>
      <w:r w:rsidRPr="00A05F26">
        <w:rPr>
          <w:sz w:val="22"/>
          <w:szCs w:val="22"/>
        </w:rPr>
        <w:t>neturi reikšmės</w:t>
      </w:r>
      <w:r>
        <w:rPr>
          <w:sz w:val="22"/>
          <w:szCs w:val="22"/>
        </w:rPr>
        <w:t>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ind w:left="540" w:hanging="540"/>
        <w:rPr>
          <w:b/>
          <w:sz w:val="22"/>
          <w:szCs w:val="22"/>
        </w:rPr>
      </w:pPr>
      <w:bookmarkStart w:id="6" w:name="_Toc129243141"/>
      <w:bookmarkStart w:id="7" w:name="_Toc129243266"/>
      <w:r w:rsidRPr="004C65FC">
        <w:rPr>
          <w:b/>
          <w:sz w:val="22"/>
          <w:szCs w:val="22"/>
        </w:rPr>
        <w:t>3.</w:t>
      </w:r>
      <w:r w:rsidRPr="004C65FC">
        <w:rPr>
          <w:b/>
          <w:sz w:val="22"/>
          <w:szCs w:val="22"/>
        </w:rPr>
        <w:tab/>
        <w:t xml:space="preserve">KAIP VARTOTI </w:t>
      </w:r>
      <w:bookmarkEnd w:id="6"/>
      <w:bookmarkEnd w:id="7"/>
      <w:r w:rsidRPr="004C65FC">
        <w:rPr>
          <w:b/>
          <w:caps/>
          <w:sz w:val="22"/>
          <w:szCs w:val="22"/>
        </w:rPr>
        <w:t>Magnesium-Diasporal Orange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 xml:space="preserve"> visada vartokite tiksliai, kaip nurodė gydytojas. Jeigu abejojate, kreipkitės į gydytoją arba vaistininką.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>Pastiles reikia čiulpti.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>Jeigu gydytojas nerekomendavo kitaip, įprasta dozė yra po vieną pastilę (98,6 mg magnio) 3 kartus per parą, tai atitinka 295,8 mg magnio paros dozę. Paros dozė vaikams sumažinama atitinkamai pagal amžių.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>Gydymo trukmę nustato gydantysis gydytojas.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b/>
          <w:sz w:val="22"/>
          <w:szCs w:val="22"/>
        </w:rPr>
      </w:pPr>
      <w:r w:rsidRPr="004C65FC">
        <w:rPr>
          <w:b/>
          <w:sz w:val="22"/>
          <w:szCs w:val="22"/>
        </w:rPr>
        <w:t xml:space="preserve">Pavartojus per didelę </w:t>
      </w:r>
      <w:proofErr w:type="spellStart"/>
      <w:r w:rsidRPr="004C65FC">
        <w:rPr>
          <w:b/>
          <w:sz w:val="22"/>
          <w:szCs w:val="22"/>
        </w:rPr>
        <w:t>Magnesium-Diasporal</w:t>
      </w:r>
      <w:proofErr w:type="spellEnd"/>
      <w:r w:rsidRPr="004C65FC">
        <w:rPr>
          <w:b/>
          <w:sz w:val="22"/>
          <w:szCs w:val="22"/>
        </w:rPr>
        <w:t xml:space="preserve"> </w:t>
      </w:r>
      <w:proofErr w:type="spellStart"/>
      <w:r w:rsidRPr="004C65FC">
        <w:rPr>
          <w:b/>
          <w:sz w:val="22"/>
          <w:szCs w:val="22"/>
        </w:rPr>
        <w:t>Orange</w:t>
      </w:r>
      <w:proofErr w:type="spellEnd"/>
      <w:r w:rsidRPr="004C65FC">
        <w:rPr>
          <w:b/>
          <w:sz w:val="22"/>
          <w:szCs w:val="22"/>
        </w:rPr>
        <w:t xml:space="preserve"> dozę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 xml:space="preserve">Jeigu išgėrėte didesnę nei paskirta </w:t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 xml:space="preserve"> dozę, bet Jūsų inkstų funkcija yra normali, jokių specialių priemonių dažniausiai nereikia. Suvartotas per didelis magnio kiekis greitai pasišalina per inkstus. Tačiau, kaip ir perdozavus bet kokio vaisto, rekomenduojama nedelsiant kreiptis į arčiausios ligoninės Skubios pagalbos skyrių.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i/>
          <w:sz w:val="22"/>
          <w:szCs w:val="22"/>
        </w:rPr>
      </w:pPr>
      <w:r w:rsidRPr="004C65FC">
        <w:rPr>
          <w:i/>
          <w:sz w:val="22"/>
          <w:szCs w:val="22"/>
        </w:rPr>
        <w:t>Nurodymas diabeto ligoniams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>Vienoje pastilėje yra tik maždaug 0,1 g cukraus (= sacharozės), tai atitinka 0,01 DV. Diabeto ligoniams vartojant rekomenduojamą preparato dozę, šio kiekio priskaičiuoti nebūtina.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ind w:left="540" w:hanging="540"/>
        <w:rPr>
          <w:b/>
          <w:sz w:val="22"/>
          <w:szCs w:val="22"/>
        </w:rPr>
      </w:pPr>
      <w:bookmarkStart w:id="8" w:name="_Toc129243142"/>
      <w:bookmarkStart w:id="9" w:name="_Toc129243267"/>
      <w:r w:rsidRPr="004C65FC">
        <w:rPr>
          <w:b/>
          <w:sz w:val="22"/>
          <w:szCs w:val="22"/>
        </w:rPr>
        <w:t>4.</w:t>
      </w:r>
      <w:r w:rsidRPr="004C65FC">
        <w:rPr>
          <w:b/>
          <w:sz w:val="22"/>
          <w:szCs w:val="22"/>
        </w:rPr>
        <w:tab/>
        <w:t>GALIMAS ŠALUTINIS POVEIKIS</w:t>
      </w:r>
      <w:bookmarkEnd w:id="8"/>
      <w:bookmarkEnd w:id="9"/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>, kaip ir visi kiti vaistai, gali sukelti šalutinį poveikį, nors jis pasireiškia ne visiems žmonėms.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 xml:space="preserve">Šalutinis poveikis išvardytas, naudojant tokius dažnio </w:t>
      </w:r>
      <w:proofErr w:type="spellStart"/>
      <w:r w:rsidRPr="004C65FC">
        <w:rPr>
          <w:sz w:val="22"/>
          <w:szCs w:val="22"/>
        </w:rPr>
        <w:t>apibūdinimus</w:t>
      </w:r>
      <w:proofErr w:type="spellEnd"/>
      <w:r w:rsidRPr="004C65FC">
        <w:rPr>
          <w:sz w:val="22"/>
          <w:szCs w:val="22"/>
        </w:rPr>
        <w:t>.</w:t>
      </w:r>
    </w:p>
    <w:p w:rsidR="00034A66" w:rsidRPr="004C65FC" w:rsidRDefault="00034A66" w:rsidP="00034A66">
      <w:pPr>
        <w:rPr>
          <w:sz w:val="22"/>
          <w:szCs w:val="22"/>
        </w:rPr>
      </w:pPr>
    </w:p>
    <w:tbl>
      <w:tblPr>
        <w:tblW w:w="9214" w:type="dxa"/>
        <w:tblInd w:w="7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938"/>
      </w:tblGrid>
      <w:tr w:rsidR="00034A66" w:rsidRPr="004C65FC" w:rsidTr="0019567A">
        <w:trPr>
          <w:trHeight w:val="253"/>
        </w:trPr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4A66" w:rsidRPr="004C65FC" w:rsidRDefault="00034A66" w:rsidP="0019567A">
            <w:r w:rsidRPr="004C65FC">
              <w:rPr>
                <w:sz w:val="22"/>
                <w:szCs w:val="22"/>
              </w:rPr>
              <w:t xml:space="preserve">Labai dažni. </w:t>
            </w:r>
          </w:p>
        </w:tc>
        <w:tc>
          <w:tcPr>
            <w:tcW w:w="79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4A66" w:rsidRPr="004C65FC" w:rsidRDefault="00034A66" w:rsidP="0019567A">
            <w:r w:rsidRPr="004C65FC">
              <w:rPr>
                <w:sz w:val="22"/>
                <w:szCs w:val="22"/>
              </w:rPr>
              <w:t>Pasireiškia dažniau kaip 1 iš 10 gydytų pacientų.</w:t>
            </w:r>
          </w:p>
        </w:tc>
      </w:tr>
      <w:tr w:rsidR="00034A66" w:rsidRPr="004C65FC" w:rsidTr="0019567A">
        <w:trPr>
          <w:trHeight w:val="272"/>
        </w:trPr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4A66" w:rsidRPr="004C65FC" w:rsidRDefault="00034A66" w:rsidP="0019567A">
            <w:r w:rsidRPr="004C65FC">
              <w:rPr>
                <w:sz w:val="22"/>
                <w:szCs w:val="22"/>
              </w:rPr>
              <w:t xml:space="preserve">Dažni. </w:t>
            </w:r>
          </w:p>
        </w:tc>
        <w:tc>
          <w:tcPr>
            <w:tcW w:w="79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4A66" w:rsidRPr="004C65FC" w:rsidRDefault="00034A66" w:rsidP="0019567A">
            <w:r w:rsidRPr="004C65FC">
              <w:rPr>
                <w:sz w:val="22"/>
                <w:szCs w:val="22"/>
              </w:rPr>
              <w:t>Pasireiškia rečiau kaip 1 iš 10, bet dažniau kaip 1 iš 100 gydytų pacientų.</w:t>
            </w:r>
          </w:p>
        </w:tc>
      </w:tr>
      <w:tr w:rsidR="00034A66" w:rsidRPr="004C65FC" w:rsidTr="0019567A">
        <w:trPr>
          <w:trHeight w:val="265"/>
        </w:trPr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4A66" w:rsidRPr="004C65FC" w:rsidRDefault="00034A66" w:rsidP="0019567A">
            <w:r w:rsidRPr="004C65FC">
              <w:rPr>
                <w:sz w:val="22"/>
                <w:szCs w:val="22"/>
              </w:rPr>
              <w:t>Nedažni.</w:t>
            </w:r>
          </w:p>
        </w:tc>
        <w:tc>
          <w:tcPr>
            <w:tcW w:w="79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4A66" w:rsidRPr="004C65FC" w:rsidRDefault="00034A66" w:rsidP="0019567A">
            <w:r w:rsidRPr="004C65FC">
              <w:rPr>
                <w:sz w:val="22"/>
                <w:szCs w:val="22"/>
              </w:rPr>
              <w:t>Pasireiškia rečiau kaip 1 iš 100, bet dažniau kaip 1 iš 1000 gydytų pacientų.</w:t>
            </w:r>
          </w:p>
        </w:tc>
      </w:tr>
      <w:tr w:rsidR="00034A66" w:rsidRPr="004C65FC" w:rsidTr="0019567A">
        <w:trPr>
          <w:trHeight w:val="255"/>
        </w:trPr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4A66" w:rsidRPr="004C65FC" w:rsidRDefault="00034A66" w:rsidP="0019567A">
            <w:r w:rsidRPr="004C65FC">
              <w:rPr>
                <w:sz w:val="22"/>
                <w:szCs w:val="22"/>
              </w:rPr>
              <w:t>Reti.</w:t>
            </w:r>
          </w:p>
        </w:tc>
        <w:tc>
          <w:tcPr>
            <w:tcW w:w="79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4A66" w:rsidRPr="004C65FC" w:rsidRDefault="00034A66" w:rsidP="0019567A">
            <w:r w:rsidRPr="004C65FC">
              <w:rPr>
                <w:sz w:val="22"/>
                <w:szCs w:val="22"/>
              </w:rPr>
              <w:t>Pasireiškia rečiau kaip 1 iš 1000, bet dažniau kaip 1 iš 10 000 gydytų pacientų.</w:t>
            </w:r>
          </w:p>
        </w:tc>
      </w:tr>
      <w:tr w:rsidR="00034A66" w:rsidRPr="004C65FC" w:rsidTr="0019567A">
        <w:trPr>
          <w:trHeight w:val="273"/>
        </w:trPr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4A66" w:rsidRPr="004C65FC" w:rsidRDefault="00034A66" w:rsidP="0019567A">
            <w:r w:rsidRPr="004C65FC">
              <w:rPr>
                <w:sz w:val="22"/>
                <w:szCs w:val="22"/>
              </w:rPr>
              <w:t>Labai reti.</w:t>
            </w:r>
          </w:p>
        </w:tc>
        <w:tc>
          <w:tcPr>
            <w:tcW w:w="79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4A66" w:rsidRPr="004C65FC" w:rsidRDefault="00034A66" w:rsidP="0019567A">
            <w:r w:rsidRPr="004C65FC">
              <w:rPr>
                <w:sz w:val="22"/>
                <w:szCs w:val="22"/>
              </w:rPr>
              <w:t>Pasireiškia rečiau kaip 1 iš 10 000 gydytų pacientų, įskaitant pavienius atvejus.</w:t>
            </w:r>
          </w:p>
        </w:tc>
      </w:tr>
    </w:tbl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i/>
          <w:sz w:val="22"/>
          <w:szCs w:val="22"/>
        </w:rPr>
      </w:pPr>
      <w:r w:rsidRPr="004C65FC">
        <w:rPr>
          <w:i/>
          <w:sz w:val="22"/>
          <w:szCs w:val="22"/>
        </w:rPr>
        <w:t>Šalutinis poveikis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 xml:space="preserve">Vartojant </w:t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>, gydymo pradžioje gali būti skystesnės išmatos arba net pasireikšti viduriavimas. Tokia būklė pavojaus nekelia ir ilgainiui normalizuojasi. Ilgą laiką vartojant, labai retais atvejais gali pasireikšti nuovargis.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i/>
          <w:sz w:val="22"/>
          <w:szCs w:val="22"/>
        </w:rPr>
      </w:pPr>
      <w:r w:rsidRPr="004C65FC">
        <w:rPr>
          <w:i/>
          <w:sz w:val="22"/>
          <w:szCs w:val="22"/>
        </w:rPr>
        <w:t>Kaip elgtis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>Tokiu atveju gydymą reikia nutraukti, o simptomams išnykus, gydymą atnaujinti, bet vartoti mažesnę dozę.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D708F0" w:rsidRDefault="00034A66" w:rsidP="00034A66">
      <w:pPr>
        <w:rPr>
          <w:sz w:val="22"/>
        </w:rPr>
      </w:pPr>
    </w:p>
    <w:p w:rsidR="00034A66" w:rsidRPr="00D708F0" w:rsidRDefault="00034A66" w:rsidP="00034A66">
      <w:pPr>
        <w:rPr>
          <w:sz w:val="22"/>
        </w:rPr>
      </w:pPr>
    </w:p>
    <w:p w:rsidR="00034A66" w:rsidRPr="00D708F0" w:rsidRDefault="00034A66" w:rsidP="00034A66">
      <w:pPr>
        <w:rPr>
          <w:b/>
        </w:rPr>
      </w:pPr>
      <w:r w:rsidRPr="00B34FA1">
        <w:rPr>
          <w:b/>
          <w:noProof/>
        </w:rPr>
        <w:lastRenderedPageBreak/>
        <w:t>Pranešimas apie šalutinį poveikį</w:t>
      </w:r>
    </w:p>
    <w:p w:rsidR="00034A66" w:rsidRPr="00AA696A" w:rsidRDefault="00034A66" w:rsidP="00034A66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</w:rPr>
      </w:pPr>
      <w:r w:rsidRPr="00AA696A">
        <w:rPr>
          <w:snapToGrid w:val="0"/>
          <w:sz w:val="22"/>
          <w:szCs w:val="20"/>
        </w:rPr>
        <w:t>Jeigu pasireiškė šalutinis poveikis, įskaitant šiame l</w:t>
      </w:r>
      <w:r>
        <w:rPr>
          <w:snapToGrid w:val="0"/>
          <w:sz w:val="22"/>
          <w:szCs w:val="20"/>
        </w:rPr>
        <w:t>apelyje nenurodytą, pasakykite gydytojui</w:t>
      </w:r>
      <w:r w:rsidRPr="00AA696A">
        <w:rPr>
          <w:snapToGrid w:val="0"/>
          <w:sz w:val="22"/>
          <w:szCs w:val="20"/>
        </w:rPr>
        <w:t xml:space="preserve"> </w:t>
      </w:r>
      <w:r>
        <w:rPr>
          <w:snapToGrid w:val="0"/>
          <w:sz w:val="22"/>
          <w:szCs w:val="20"/>
        </w:rPr>
        <w:t>arba vaistininkui arba slaugytojui</w:t>
      </w:r>
      <w:r w:rsidRPr="00AA696A">
        <w:rPr>
          <w:snapToGrid w:val="0"/>
          <w:sz w:val="22"/>
          <w:szCs w:val="20"/>
        </w:rPr>
        <w:t>. Apie šalutinį poveikį taip pat galite pranešti Valstybinei vaistų kontrolės tarnybai prie Lietuvos Respublikos sveikatos apsaugos ministerijos nemokamu t</w:t>
      </w:r>
      <w:r w:rsidRPr="00AA696A">
        <w:rPr>
          <w:snapToGrid w:val="0"/>
          <w:sz w:val="22"/>
          <w:szCs w:val="20"/>
          <w:lang w:eastAsia="zh-CN"/>
        </w:rPr>
        <w:t>elefonu 8 800 73568</w:t>
      </w:r>
      <w:r w:rsidRPr="00AA696A">
        <w:rPr>
          <w:snapToGrid w:val="0"/>
          <w:sz w:val="22"/>
          <w:szCs w:val="20"/>
        </w:rPr>
        <w:t xml:space="preserve"> arba užpildyti interneto svetainėje </w:t>
      </w:r>
      <w:hyperlink r:id="rId4" w:history="1">
        <w:r w:rsidRPr="00AA696A">
          <w:rPr>
            <w:rFonts w:eastAsia="SimSun"/>
            <w:snapToGrid w:val="0"/>
            <w:color w:val="0000FF"/>
            <w:sz w:val="22"/>
            <w:szCs w:val="20"/>
            <w:u w:val="single"/>
          </w:rPr>
          <w:t>www.vvkt.lt</w:t>
        </w:r>
      </w:hyperlink>
      <w:r w:rsidRPr="00AA696A">
        <w:rPr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A696A">
        <w:rPr>
          <w:snapToGrid w:val="0"/>
          <w:sz w:val="22"/>
          <w:szCs w:val="20"/>
          <w:lang w:eastAsia="zh-CN"/>
        </w:rPr>
        <w:t xml:space="preserve">nemokamu </w:t>
      </w:r>
      <w:r w:rsidRPr="00AA696A">
        <w:rPr>
          <w:snapToGrid w:val="0"/>
          <w:sz w:val="22"/>
          <w:szCs w:val="20"/>
        </w:rPr>
        <w:t>fakso numeriu 8 800 20131</w:t>
      </w:r>
      <w:r w:rsidRPr="00AA696A">
        <w:rPr>
          <w:snapToGrid w:val="0"/>
          <w:sz w:val="22"/>
          <w:szCs w:val="20"/>
          <w:lang w:eastAsia="zh-CN"/>
        </w:rPr>
        <w:t xml:space="preserve">, </w:t>
      </w:r>
      <w:r w:rsidRPr="00AA696A">
        <w:rPr>
          <w:snapToGrid w:val="0"/>
          <w:sz w:val="22"/>
          <w:szCs w:val="20"/>
        </w:rPr>
        <w:t xml:space="preserve">el. paštu </w:t>
      </w:r>
      <w:hyperlink r:id="rId5" w:history="1">
        <w:r w:rsidRPr="00AA696A">
          <w:rPr>
            <w:rFonts w:eastAsia="SimSun"/>
            <w:snapToGrid w:val="0"/>
            <w:color w:val="0000FF"/>
            <w:sz w:val="22"/>
            <w:szCs w:val="20"/>
            <w:u w:val="single"/>
          </w:rPr>
          <w:t>NepageidaujamaR@vvkt.lt</w:t>
        </w:r>
      </w:hyperlink>
      <w:r w:rsidRPr="00AA696A">
        <w:rPr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6" w:history="1">
        <w:r w:rsidRPr="00AA696A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</w:t>
        </w:r>
      </w:hyperlink>
      <w:r w:rsidRPr="00AA696A">
        <w:rPr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ind w:left="540" w:hanging="540"/>
        <w:rPr>
          <w:b/>
          <w:sz w:val="22"/>
          <w:szCs w:val="22"/>
        </w:rPr>
      </w:pPr>
      <w:bookmarkStart w:id="10" w:name="_Toc129243143"/>
      <w:bookmarkStart w:id="11" w:name="_Toc129243268"/>
      <w:r w:rsidRPr="004C65FC">
        <w:rPr>
          <w:b/>
          <w:sz w:val="22"/>
          <w:szCs w:val="22"/>
        </w:rPr>
        <w:t>5.</w:t>
      </w:r>
      <w:r w:rsidRPr="004C65FC">
        <w:rPr>
          <w:b/>
          <w:sz w:val="22"/>
          <w:szCs w:val="22"/>
        </w:rPr>
        <w:tab/>
        <w:t xml:space="preserve">KAIP LAIKYTI </w:t>
      </w:r>
      <w:bookmarkEnd w:id="10"/>
      <w:bookmarkEnd w:id="11"/>
      <w:r w:rsidRPr="004C65FC">
        <w:rPr>
          <w:b/>
          <w:caps/>
          <w:sz w:val="22"/>
          <w:szCs w:val="22"/>
        </w:rPr>
        <w:t>Magnesium-Diasporal Orange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>Laikyti vaikams nepasiekiamoje ir nepastebimoje vietoje.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 xml:space="preserve">Ant dėžutės ir lizdinės plokštelės po „Tinka iki“ nurodytam tinkamumo laikui pasibaigus, </w:t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 xml:space="preserve"> vartoti negalima.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ind w:left="540" w:hanging="540"/>
        <w:rPr>
          <w:b/>
          <w:sz w:val="22"/>
          <w:szCs w:val="22"/>
        </w:rPr>
      </w:pPr>
      <w:bookmarkStart w:id="12" w:name="_Toc129243144"/>
      <w:bookmarkStart w:id="13" w:name="_Toc129243269"/>
      <w:r w:rsidRPr="004C65FC">
        <w:rPr>
          <w:b/>
          <w:sz w:val="22"/>
          <w:szCs w:val="22"/>
        </w:rPr>
        <w:t>6.</w:t>
      </w:r>
      <w:r w:rsidRPr="004C65FC">
        <w:rPr>
          <w:b/>
          <w:sz w:val="22"/>
          <w:szCs w:val="22"/>
        </w:rPr>
        <w:tab/>
        <w:t>KITA INFORMACIJA</w:t>
      </w:r>
      <w:bookmarkEnd w:id="12"/>
      <w:bookmarkEnd w:id="13"/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b/>
          <w:sz w:val="22"/>
          <w:szCs w:val="22"/>
        </w:rPr>
      </w:pPr>
      <w:proofErr w:type="spellStart"/>
      <w:r w:rsidRPr="004C65FC">
        <w:rPr>
          <w:b/>
          <w:sz w:val="22"/>
          <w:szCs w:val="22"/>
        </w:rPr>
        <w:t>Magnesium-Diasporal</w:t>
      </w:r>
      <w:proofErr w:type="spellEnd"/>
      <w:r w:rsidRPr="004C65FC">
        <w:rPr>
          <w:b/>
          <w:sz w:val="22"/>
          <w:szCs w:val="22"/>
        </w:rPr>
        <w:t xml:space="preserve"> </w:t>
      </w:r>
      <w:proofErr w:type="spellStart"/>
      <w:r w:rsidRPr="004C65FC">
        <w:rPr>
          <w:b/>
          <w:sz w:val="22"/>
          <w:szCs w:val="22"/>
        </w:rPr>
        <w:t>Orange</w:t>
      </w:r>
      <w:proofErr w:type="spellEnd"/>
      <w:r w:rsidRPr="004C65FC">
        <w:rPr>
          <w:b/>
          <w:sz w:val="22"/>
          <w:szCs w:val="22"/>
        </w:rPr>
        <w:t xml:space="preserve"> sudėtis</w:t>
      </w:r>
    </w:p>
    <w:p w:rsidR="00034A66" w:rsidRPr="004C65FC" w:rsidRDefault="00034A66" w:rsidP="00034A66">
      <w:pPr>
        <w:rPr>
          <w:sz w:val="22"/>
          <w:szCs w:val="22"/>
          <w:u w:val="single"/>
        </w:rPr>
      </w:pP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  <w:r w:rsidRPr="004C65FC">
        <w:rPr>
          <w:sz w:val="22"/>
          <w:szCs w:val="22"/>
        </w:rPr>
        <w:t>-</w:t>
      </w:r>
      <w:r w:rsidRPr="004C65FC">
        <w:rPr>
          <w:sz w:val="22"/>
          <w:szCs w:val="22"/>
        </w:rPr>
        <w:tab/>
        <w:t>Veiklioji medžiaga yra magnio citratas. Vienoje pastilėje yra 610 mg magnio citrato (atitinka 98,6 mg magnio).</w:t>
      </w:r>
    </w:p>
    <w:p w:rsidR="00034A66" w:rsidRPr="004C65FC" w:rsidRDefault="00034A66" w:rsidP="00034A66">
      <w:pPr>
        <w:tabs>
          <w:tab w:val="left" w:pos="567"/>
        </w:tabs>
        <w:jc w:val="both"/>
        <w:rPr>
          <w:sz w:val="22"/>
          <w:szCs w:val="22"/>
        </w:rPr>
      </w:pPr>
      <w:r w:rsidRPr="004C65FC">
        <w:rPr>
          <w:sz w:val="22"/>
          <w:szCs w:val="22"/>
        </w:rPr>
        <w:t>-</w:t>
      </w:r>
      <w:r w:rsidRPr="004C65FC">
        <w:rPr>
          <w:sz w:val="22"/>
          <w:szCs w:val="22"/>
        </w:rPr>
        <w:tab/>
        <w:t xml:space="preserve">Pagalbinės medžiagos yra sacharozė, celiuliozės milteliai, citrinų rūgštis, </w:t>
      </w:r>
      <w:proofErr w:type="spellStart"/>
      <w:r w:rsidRPr="004C65FC">
        <w:rPr>
          <w:sz w:val="22"/>
          <w:szCs w:val="22"/>
        </w:rPr>
        <w:t>ksantano</w:t>
      </w:r>
      <w:proofErr w:type="spellEnd"/>
      <w:r w:rsidRPr="004C65FC">
        <w:rPr>
          <w:sz w:val="22"/>
          <w:szCs w:val="22"/>
        </w:rPr>
        <w:t xml:space="preserve"> lipai, kalcio </w:t>
      </w:r>
      <w:proofErr w:type="spellStart"/>
      <w:r w:rsidRPr="004C65FC">
        <w:rPr>
          <w:sz w:val="22"/>
          <w:szCs w:val="22"/>
        </w:rPr>
        <w:t>stearatas</w:t>
      </w:r>
      <w:proofErr w:type="spellEnd"/>
      <w:r w:rsidRPr="004C65FC">
        <w:rPr>
          <w:sz w:val="22"/>
          <w:szCs w:val="22"/>
        </w:rPr>
        <w:t>, sacharino natrio druska, apelsinų skonio medžiaga.</w:t>
      </w:r>
    </w:p>
    <w:p w:rsidR="00034A66" w:rsidRPr="004C65FC" w:rsidRDefault="00034A66" w:rsidP="00034A66">
      <w:pPr>
        <w:ind w:left="540" w:hanging="540"/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b/>
          <w:sz w:val="22"/>
          <w:szCs w:val="22"/>
        </w:rPr>
      </w:pPr>
      <w:proofErr w:type="spellStart"/>
      <w:r w:rsidRPr="004C65FC">
        <w:rPr>
          <w:b/>
          <w:sz w:val="22"/>
          <w:szCs w:val="22"/>
        </w:rPr>
        <w:t>Magnesium-Diasporal</w:t>
      </w:r>
      <w:proofErr w:type="spellEnd"/>
      <w:r w:rsidRPr="004C65FC">
        <w:rPr>
          <w:b/>
          <w:sz w:val="22"/>
          <w:szCs w:val="22"/>
        </w:rPr>
        <w:t xml:space="preserve"> </w:t>
      </w:r>
      <w:proofErr w:type="spellStart"/>
      <w:r w:rsidRPr="004C65FC">
        <w:rPr>
          <w:b/>
          <w:sz w:val="22"/>
          <w:szCs w:val="22"/>
        </w:rPr>
        <w:t>Orange</w:t>
      </w:r>
      <w:proofErr w:type="spellEnd"/>
      <w:r w:rsidRPr="004C65FC">
        <w:rPr>
          <w:b/>
          <w:sz w:val="22"/>
          <w:szCs w:val="22"/>
        </w:rPr>
        <w:t xml:space="preserve"> išvaizda ir kiekis pakuotėje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>Kietosios pastilės yra baltos arba beveik baltos, apvalios ir abipusiai išgaubtos.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 xml:space="preserve">Tiekiamos 50 ir 100 </w:t>
      </w:r>
      <w:proofErr w:type="spellStart"/>
      <w:r w:rsidRPr="004C65FC">
        <w:rPr>
          <w:sz w:val="22"/>
          <w:szCs w:val="22"/>
        </w:rPr>
        <w:t>Magnesium-Diasporal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Orange</w:t>
      </w:r>
      <w:proofErr w:type="spellEnd"/>
      <w:r w:rsidRPr="004C65FC">
        <w:rPr>
          <w:sz w:val="22"/>
          <w:szCs w:val="22"/>
        </w:rPr>
        <w:t xml:space="preserve"> kietųjų pastilių pakuotės.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>Gali būti tiekiamos ne visų dydžių pakuotės.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b/>
          <w:sz w:val="22"/>
          <w:szCs w:val="22"/>
        </w:rPr>
      </w:pPr>
      <w:r>
        <w:rPr>
          <w:b/>
          <w:sz w:val="22"/>
          <w:szCs w:val="22"/>
        </w:rPr>
        <w:t>Registruotojas</w:t>
      </w:r>
      <w:r w:rsidRPr="004C65FC">
        <w:rPr>
          <w:b/>
          <w:sz w:val="22"/>
          <w:szCs w:val="22"/>
        </w:rPr>
        <w:t xml:space="preserve"> ir gamintojas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 xml:space="preserve">Protina </w:t>
      </w:r>
      <w:proofErr w:type="spellStart"/>
      <w:r w:rsidRPr="004C65FC">
        <w:rPr>
          <w:sz w:val="22"/>
          <w:szCs w:val="22"/>
        </w:rPr>
        <w:t>Pharmazeutische</w:t>
      </w:r>
      <w:proofErr w:type="spellEnd"/>
    </w:p>
    <w:p w:rsidR="00034A66" w:rsidRPr="004C65FC" w:rsidRDefault="00034A66" w:rsidP="00034A66">
      <w:pPr>
        <w:rPr>
          <w:sz w:val="22"/>
          <w:szCs w:val="22"/>
        </w:rPr>
      </w:pPr>
      <w:proofErr w:type="spellStart"/>
      <w:r w:rsidRPr="004C65FC">
        <w:rPr>
          <w:sz w:val="22"/>
          <w:szCs w:val="22"/>
        </w:rPr>
        <w:t>Gesellschaft</w:t>
      </w:r>
      <w:proofErr w:type="spellEnd"/>
      <w:r w:rsidRPr="004C65FC">
        <w:rPr>
          <w:sz w:val="22"/>
          <w:szCs w:val="22"/>
        </w:rPr>
        <w:t xml:space="preserve"> </w:t>
      </w:r>
      <w:proofErr w:type="spellStart"/>
      <w:r w:rsidRPr="004C65FC">
        <w:rPr>
          <w:sz w:val="22"/>
          <w:szCs w:val="22"/>
        </w:rPr>
        <w:t>mbH</w:t>
      </w:r>
      <w:proofErr w:type="spellEnd"/>
    </w:p>
    <w:p w:rsidR="00034A66" w:rsidRPr="004C65FC" w:rsidRDefault="00034A66" w:rsidP="00034A66">
      <w:pPr>
        <w:rPr>
          <w:sz w:val="22"/>
          <w:szCs w:val="22"/>
        </w:rPr>
      </w:pPr>
      <w:proofErr w:type="spellStart"/>
      <w:r w:rsidRPr="004C65FC">
        <w:rPr>
          <w:sz w:val="22"/>
          <w:szCs w:val="22"/>
        </w:rPr>
        <w:t>Adalperostraße</w:t>
      </w:r>
      <w:proofErr w:type="spellEnd"/>
      <w:r w:rsidRPr="004C65FC">
        <w:rPr>
          <w:sz w:val="22"/>
          <w:szCs w:val="22"/>
        </w:rPr>
        <w:t xml:space="preserve"> 37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 xml:space="preserve">D-85737 </w:t>
      </w:r>
      <w:proofErr w:type="spellStart"/>
      <w:r w:rsidRPr="004C65FC">
        <w:rPr>
          <w:sz w:val="22"/>
          <w:szCs w:val="22"/>
        </w:rPr>
        <w:t>Ismaning</w:t>
      </w:r>
      <w:proofErr w:type="spellEnd"/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>Vokietija</w:t>
      </w: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 xml:space="preserve">Telefonas: </w:t>
      </w:r>
      <w:smartTag w:uri="schemas-tilde-lv/tildestengine" w:element="phone">
        <w:smartTagPr>
          <w:attr w:name="phone_prefix" w:val="(089)"/>
          <w:attr w:name="phone_number" w:val="99 65 53 0"/>
        </w:smartTagPr>
        <w:r w:rsidRPr="004C65FC">
          <w:rPr>
            <w:sz w:val="22"/>
            <w:szCs w:val="22"/>
          </w:rPr>
          <w:t>(089) 99 65 53 0</w:t>
        </w:r>
      </w:smartTag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 xml:space="preserve">Telefaksas: </w:t>
      </w:r>
      <w:smartTag w:uri="schemas-tilde-lv/tildestengine" w:element="phone">
        <w:smartTagPr>
          <w:attr w:name="phone_prefix" w:val="(089)"/>
          <w:attr w:name="phone_number" w:val="96 34 46"/>
        </w:smartTagPr>
        <w:r w:rsidRPr="004C65FC">
          <w:rPr>
            <w:sz w:val="22"/>
            <w:szCs w:val="22"/>
          </w:rPr>
          <w:t>(089) 96 34 46</w:t>
        </w:r>
      </w:smartTag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>El. paštas: info@protina.de</w:t>
      </w:r>
    </w:p>
    <w:p w:rsidR="00034A66" w:rsidRPr="004C65FC" w:rsidRDefault="00034A66" w:rsidP="00034A66">
      <w:pPr>
        <w:rPr>
          <w:sz w:val="22"/>
          <w:szCs w:val="22"/>
        </w:rPr>
      </w:pPr>
    </w:p>
    <w:p w:rsidR="00034A66" w:rsidRPr="004C65FC" w:rsidRDefault="00034A66" w:rsidP="00034A66">
      <w:pPr>
        <w:rPr>
          <w:sz w:val="22"/>
          <w:szCs w:val="22"/>
        </w:rPr>
      </w:pPr>
      <w:r w:rsidRPr="004C65FC">
        <w:rPr>
          <w:sz w:val="22"/>
          <w:szCs w:val="22"/>
        </w:rPr>
        <w:t xml:space="preserve">Jeigu apie šį vaistą norite sužinoti daugiau, kreipkitės į vietinį </w:t>
      </w:r>
      <w:r>
        <w:rPr>
          <w:sz w:val="22"/>
          <w:szCs w:val="22"/>
        </w:rPr>
        <w:t>registruotojo</w:t>
      </w:r>
      <w:r w:rsidRPr="004C65FC">
        <w:rPr>
          <w:sz w:val="22"/>
          <w:szCs w:val="22"/>
        </w:rPr>
        <w:t xml:space="preserve"> atstovą.</w:t>
      </w:r>
    </w:p>
    <w:p w:rsidR="00034A66" w:rsidRPr="004C65FC" w:rsidRDefault="00034A66" w:rsidP="00034A66">
      <w:pPr>
        <w:rPr>
          <w:sz w:val="22"/>
          <w:szCs w:val="22"/>
        </w:rPr>
      </w:pPr>
    </w:p>
    <w:tbl>
      <w:tblPr>
        <w:tblW w:w="47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14"/>
      </w:tblGrid>
      <w:tr w:rsidR="00034A66" w:rsidRPr="004C65FC" w:rsidTr="0019567A">
        <w:trPr>
          <w:trHeight w:val="1499"/>
        </w:trPr>
        <w:tc>
          <w:tcPr>
            <w:tcW w:w="4714" w:type="dxa"/>
          </w:tcPr>
          <w:p w:rsidR="00034A66" w:rsidRPr="004C65FC" w:rsidRDefault="00034A66" w:rsidP="0019567A">
            <w:pPr>
              <w:ind w:right="-449"/>
            </w:pPr>
            <w:r w:rsidRPr="004C65FC"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Pharmhouse</w:t>
            </w:r>
            <w:proofErr w:type="spellEnd"/>
          </w:p>
          <w:p w:rsidR="00034A66" w:rsidRPr="004C65FC" w:rsidRDefault="00034A66" w:rsidP="0019567A">
            <w:pPr>
              <w:ind w:right="-449"/>
            </w:pPr>
            <w:r w:rsidRPr="007F26C6">
              <w:rPr>
                <w:sz w:val="22"/>
                <w:szCs w:val="22"/>
              </w:rPr>
              <w:t xml:space="preserve">Saulėtekio </w:t>
            </w:r>
            <w:r w:rsidRPr="007F26C6">
              <w:rPr>
                <w:snapToGrid w:val="0"/>
                <w:sz w:val="22"/>
                <w:szCs w:val="22"/>
              </w:rPr>
              <w:t xml:space="preserve">alėja </w:t>
            </w:r>
            <w:r w:rsidRPr="007F26C6">
              <w:rPr>
                <w:sz w:val="22"/>
                <w:szCs w:val="22"/>
              </w:rPr>
              <w:t>15</w:t>
            </w:r>
          </w:p>
          <w:p w:rsidR="00034A66" w:rsidRPr="004C65FC" w:rsidRDefault="00034A66" w:rsidP="0019567A">
            <w:pPr>
              <w:ind w:right="-449"/>
            </w:pPr>
            <w:r w:rsidRPr="004C65FC">
              <w:rPr>
                <w:sz w:val="22"/>
                <w:szCs w:val="22"/>
              </w:rPr>
              <w:t>LT –</w:t>
            </w:r>
            <w:r w:rsidRPr="007F26C6">
              <w:rPr>
                <w:sz w:val="22"/>
                <w:szCs w:val="22"/>
              </w:rPr>
              <w:t xml:space="preserve">10224 </w:t>
            </w:r>
            <w:r w:rsidRPr="004C65FC">
              <w:rPr>
                <w:sz w:val="22"/>
                <w:szCs w:val="22"/>
              </w:rPr>
              <w:t>Vilnius</w:t>
            </w:r>
            <w:r>
              <w:rPr>
                <w:sz w:val="22"/>
                <w:szCs w:val="22"/>
              </w:rPr>
              <w:br/>
              <w:t>Lietuva</w:t>
            </w:r>
          </w:p>
          <w:p w:rsidR="00034A66" w:rsidRPr="004C65FC" w:rsidRDefault="00034A66" w:rsidP="0019567A">
            <w:hyperlink r:id="rId7" w:history="1">
              <w:r w:rsidRPr="002D7ED4">
                <w:rPr>
                  <w:rStyle w:val="Hipersaitas"/>
                </w:rPr>
                <w:t>info@pharmhouse.lt</w:t>
              </w:r>
            </w:hyperlink>
            <w:r>
              <w:t xml:space="preserve"> </w:t>
            </w:r>
          </w:p>
        </w:tc>
      </w:tr>
    </w:tbl>
    <w:p w:rsidR="00034A66" w:rsidRPr="00AA696A" w:rsidRDefault="00034A66" w:rsidP="00034A66">
      <w:pPr>
        <w:rPr>
          <w:b/>
          <w:sz w:val="22"/>
          <w:szCs w:val="22"/>
        </w:rPr>
      </w:pPr>
      <w:r w:rsidRPr="00AA696A">
        <w:rPr>
          <w:b/>
          <w:sz w:val="22"/>
          <w:szCs w:val="22"/>
        </w:rPr>
        <w:t>Šis pakuotės lapelis paskutinį kartą peržiūrėtas 2021-03-17.</w:t>
      </w:r>
    </w:p>
    <w:p w:rsidR="00034A66" w:rsidRPr="00D708F0" w:rsidRDefault="00034A66" w:rsidP="00034A66">
      <w:pPr>
        <w:rPr>
          <w:sz w:val="22"/>
          <w:szCs w:val="22"/>
        </w:rPr>
      </w:pPr>
    </w:p>
    <w:p w:rsidR="00034A66" w:rsidRPr="00AA696A" w:rsidRDefault="00034A66" w:rsidP="00034A66">
      <w:pPr>
        <w:rPr>
          <w:sz w:val="22"/>
          <w:szCs w:val="22"/>
        </w:rPr>
      </w:pPr>
      <w:r w:rsidRPr="00AA696A">
        <w:rPr>
          <w:sz w:val="22"/>
          <w:szCs w:val="22"/>
        </w:rPr>
        <w:lastRenderedPageBreak/>
        <w:t>Išsami informacija apie šį vaistą pateikiama Valstybinės vaistų kontrolės tarnybos prie Lietuvos Respublikos sveikatos apsaugos ministerijos tinklalapyje</w:t>
      </w:r>
      <w:r w:rsidRPr="00AA696A">
        <w:rPr>
          <w:i/>
          <w:sz w:val="22"/>
          <w:szCs w:val="22"/>
        </w:rPr>
        <w:t xml:space="preserve"> </w:t>
      </w:r>
      <w:hyperlink r:id="rId8" w:history="1">
        <w:r w:rsidRPr="00AA696A">
          <w:rPr>
            <w:rStyle w:val="Hipersaitas"/>
            <w:sz w:val="22"/>
            <w:szCs w:val="22"/>
          </w:rPr>
          <w:t>http://www.vvkt.lt/</w:t>
        </w:r>
      </w:hyperlink>
      <w:r w:rsidRPr="00AA696A">
        <w:rPr>
          <w:sz w:val="22"/>
          <w:szCs w:val="22"/>
        </w:rPr>
        <w:t>.</w:t>
      </w:r>
    </w:p>
    <w:p w:rsidR="009041DB" w:rsidRDefault="009041DB">
      <w:bookmarkStart w:id="14" w:name="_GoBack"/>
      <w:bookmarkEnd w:id="14"/>
    </w:p>
    <w:sectPr w:rsidR="009041DB" w:rsidSect="00034A6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66"/>
    <w:rsid w:val="00034A66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BC51B-96EF-4C15-9B7D-7F0800AE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4A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034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harmhous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5" Type="http://schemas.openxmlformats.org/officeDocument/2006/relationships/hyperlink" Target="mailto:NepageidaujamaR@vvkt.l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vvkt.l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4933</Words>
  <Characters>2813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2021-03-30T10:53:00Z</dcterms:created>
  <dcterms:modified xsi:type="dcterms:W3CDTF">2021-03-30T10:55:00Z</dcterms:modified>
</cp:coreProperties>
</file>