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79D" w:rsidRDefault="00A4279D" w:rsidP="00A4279D">
      <w:pPr>
        <w:pStyle w:val="TTEMEASMCA"/>
        <w:rPr>
          <w:rFonts w:eastAsia="SimSun"/>
          <w:iCs/>
          <w:lang w:val="lt-LT"/>
        </w:rPr>
      </w:pPr>
      <w:bookmarkStart w:id="0" w:name="_Toc129243138"/>
      <w:bookmarkStart w:id="1" w:name="_Toc129243263"/>
      <w:r>
        <w:rPr>
          <w:rFonts w:eastAsia="SimSun"/>
          <w:iCs/>
          <w:caps w:val="0"/>
          <w:lang w:val="lt-LT"/>
        </w:rPr>
        <w:t>Pakuotės lapelis: informacija vartotojui</w:t>
      </w:r>
    </w:p>
    <w:p w:rsidR="00A4279D" w:rsidRDefault="00A4279D" w:rsidP="00A4279D">
      <w:pPr>
        <w:pStyle w:val="Pagrindinistekstas"/>
        <w:spacing w:after="0"/>
        <w:rPr>
          <w:szCs w:val="22"/>
        </w:rPr>
      </w:pPr>
    </w:p>
    <w:p w:rsidR="00A4279D" w:rsidRDefault="00A4279D" w:rsidP="00A4279D">
      <w:pPr>
        <w:tabs>
          <w:tab w:val="left" w:pos="567"/>
        </w:tabs>
        <w:jc w:val="center"/>
        <w:rPr>
          <w:b/>
          <w:szCs w:val="22"/>
        </w:rPr>
      </w:pPr>
      <w:r>
        <w:rPr>
          <w:b/>
        </w:rPr>
        <w:t>LORINDEN C 0,2/30 mg/g tepalas</w:t>
      </w:r>
    </w:p>
    <w:p w:rsidR="00A4279D" w:rsidRDefault="00A4279D" w:rsidP="00A4279D">
      <w:pPr>
        <w:pStyle w:val="Pagrindinistekstas"/>
        <w:spacing w:after="0"/>
        <w:jc w:val="center"/>
        <w:rPr>
          <w:szCs w:val="22"/>
        </w:rPr>
      </w:pPr>
      <w:proofErr w:type="spellStart"/>
      <w:r w:rsidRPr="00100DEA">
        <w:rPr>
          <w:szCs w:val="22"/>
        </w:rPr>
        <w:t>flumetazono</w:t>
      </w:r>
      <w:proofErr w:type="spellEnd"/>
      <w:r w:rsidRPr="00100DEA">
        <w:rPr>
          <w:szCs w:val="22"/>
        </w:rPr>
        <w:t xml:space="preserve"> </w:t>
      </w:r>
      <w:proofErr w:type="spellStart"/>
      <w:r w:rsidRPr="00100DEA">
        <w:rPr>
          <w:szCs w:val="22"/>
        </w:rPr>
        <w:t>pivalatas</w:t>
      </w:r>
      <w:proofErr w:type="spellEnd"/>
      <w:r w:rsidRPr="00100DEA">
        <w:rPr>
          <w:szCs w:val="22"/>
        </w:rPr>
        <w:t xml:space="preserve"> / </w:t>
      </w:r>
      <w:proofErr w:type="spellStart"/>
      <w:r w:rsidRPr="00100DEA">
        <w:rPr>
          <w:szCs w:val="22"/>
        </w:rPr>
        <w:t>kliokvinolis</w:t>
      </w:r>
      <w:proofErr w:type="spellEnd"/>
    </w:p>
    <w:p w:rsidR="00A4279D" w:rsidRDefault="00A4279D" w:rsidP="00A4279D">
      <w:pPr>
        <w:tabs>
          <w:tab w:val="left" w:pos="567"/>
        </w:tabs>
        <w:rPr>
          <w:szCs w:val="22"/>
        </w:rPr>
      </w:pPr>
    </w:p>
    <w:p w:rsidR="00A4279D" w:rsidRDefault="00A4279D" w:rsidP="00A4279D">
      <w:pPr>
        <w:pStyle w:val="BTbEMEASMCA"/>
      </w:pPr>
      <w:r>
        <w:t>Atidžiai perskaitykite visą šį lapelį, prieš pradėdami vartoti vaistą, nes jame pateikiama Jums svarbi informacija.</w:t>
      </w:r>
    </w:p>
    <w:p w:rsidR="00A4279D" w:rsidRDefault="00A4279D" w:rsidP="00A4279D">
      <w:pPr>
        <w:pStyle w:val="BT-EMEASMCA"/>
        <w:numPr>
          <w:ilvl w:val="0"/>
          <w:numId w:val="1"/>
        </w:numPr>
      </w:pPr>
      <w:r>
        <w:t>Neišmeskite šio lapelio, nes vėl gali prireikti jį perskaityti.</w:t>
      </w:r>
    </w:p>
    <w:p w:rsidR="00A4279D" w:rsidRDefault="00A4279D" w:rsidP="00A4279D">
      <w:pPr>
        <w:pStyle w:val="BT-EMEASMCA"/>
        <w:numPr>
          <w:ilvl w:val="0"/>
          <w:numId w:val="1"/>
        </w:numPr>
      </w:pPr>
      <w:r>
        <w:t>Jeigu kiltų daugiau klausimų, kreipkitės į gydytoją arba vaistininką.</w:t>
      </w:r>
    </w:p>
    <w:p w:rsidR="00A4279D" w:rsidRDefault="00A4279D" w:rsidP="00A4279D">
      <w:pPr>
        <w:pStyle w:val="BT-EMEASMCA"/>
        <w:numPr>
          <w:ilvl w:val="0"/>
          <w:numId w:val="1"/>
        </w:numPr>
      </w:pPr>
      <w:r>
        <w:t>Šis vaistas skirtas Jums, todėl kitiems žmonėms jo duoti negalima. Vaistas gali jiems pakenkti (net tiems, kurių ligos požymiai yra tokie patys kaip Jūsų).</w:t>
      </w:r>
    </w:p>
    <w:p w:rsidR="00A4279D" w:rsidRDefault="00A4279D" w:rsidP="00A4279D">
      <w:pPr>
        <w:numPr>
          <w:ilvl w:val="0"/>
          <w:numId w:val="1"/>
        </w:numPr>
        <w:ind w:left="567"/>
        <w:rPr>
          <w:szCs w:val="22"/>
        </w:rPr>
      </w:pPr>
      <w:r>
        <w:t xml:space="preserve">Jeigu pasireiškė šalutinis poveikis (net jeigu jis šiame lapelyje nenurodytas), kreipkitės į gydytoją arba vaistininką. Žr. 4 skyrių </w:t>
      </w:r>
    </w:p>
    <w:p w:rsidR="00A4279D" w:rsidRDefault="00A4279D" w:rsidP="00A4279D">
      <w:pPr>
        <w:tabs>
          <w:tab w:val="left" w:pos="567"/>
        </w:tabs>
        <w:rPr>
          <w:b/>
          <w:szCs w:val="22"/>
        </w:rPr>
      </w:pPr>
    </w:p>
    <w:p w:rsidR="00A4279D" w:rsidRDefault="00A4279D" w:rsidP="00A4279D">
      <w:pPr>
        <w:tabs>
          <w:tab w:val="left" w:pos="567"/>
        </w:tabs>
        <w:rPr>
          <w:b/>
          <w:szCs w:val="22"/>
        </w:rPr>
      </w:pPr>
      <w:r>
        <w:rPr>
          <w:b/>
          <w:szCs w:val="22"/>
        </w:rPr>
        <w:t>Apie ką rašoma šiame lapelyje?</w:t>
      </w:r>
    </w:p>
    <w:p w:rsidR="00A4279D" w:rsidRDefault="00A4279D" w:rsidP="00A4279D">
      <w:pPr>
        <w:tabs>
          <w:tab w:val="left" w:pos="567"/>
        </w:tabs>
        <w:rPr>
          <w:b/>
          <w:szCs w:val="22"/>
        </w:rPr>
      </w:pPr>
    </w:p>
    <w:p w:rsidR="00A4279D" w:rsidRDefault="00A4279D" w:rsidP="00A4279D">
      <w:pPr>
        <w:tabs>
          <w:tab w:val="left" w:pos="567"/>
        </w:tabs>
        <w:rPr>
          <w:szCs w:val="22"/>
        </w:rPr>
      </w:pPr>
      <w:r>
        <w:rPr>
          <w:szCs w:val="22"/>
        </w:rPr>
        <w:t>1.</w:t>
      </w:r>
      <w:r>
        <w:rPr>
          <w:szCs w:val="22"/>
        </w:rPr>
        <w:tab/>
        <w:t>Kas yra LORINDEN C ir kam jis vartojamas</w:t>
      </w:r>
    </w:p>
    <w:p w:rsidR="00A4279D" w:rsidRDefault="00A4279D" w:rsidP="00A4279D">
      <w:pPr>
        <w:tabs>
          <w:tab w:val="left" w:pos="567"/>
        </w:tabs>
        <w:rPr>
          <w:szCs w:val="22"/>
        </w:rPr>
      </w:pPr>
      <w:r>
        <w:rPr>
          <w:szCs w:val="22"/>
        </w:rPr>
        <w:t>2.</w:t>
      </w:r>
      <w:r>
        <w:rPr>
          <w:szCs w:val="22"/>
        </w:rPr>
        <w:tab/>
        <w:t xml:space="preserve">Kas žinotina prieš vartojant LORINDEN C </w:t>
      </w:r>
    </w:p>
    <w:p w:rsidR="00A4279D" w:rsidRDefault="00A4279D" w:rsidP="00A4279D">
      <w:pPr>
        <w:tabs>
          <w:tab w:val="left" w:pos="567"/>
        </w:tabs>
        <w:rPr>
          <w:szCs w:val="22"/>
        </w:rPr>
      </w:pPr>
      <w:r>
        <w:rPr>
          <w:szCs w:val="22"/>
        </w:rPr>
        <w:t>3.</w:t>
      </w:r>
      <w:r>
        <w:rPr>
          <w:szCs w:val="22"/>
        </w:rPr>
        <w:tab/>
        <w:t xml:space="preserve">Kaip vartoti LORINDEN C </w:t>
      </w:r>
    </w:p>
    <w:p w:rsidR="00A4279D" w:rsidRDefault="00A4279D" w:rsidP="00A4279D">
      <w:pPr>
        <w:tabs>
          <w:tab w:val="left" w:pos="567"/>
        </w:tabs>
        <w:rPr>
          <w:szCs w:val="22"/>
        </w:rPr>
      </w:pPr>
      <w:r>
        <w:rPr>
          <w:szCs w:val="22"/>
        </w:rPr>
        <w:t>4.</w:t>
      </w:r>
      <w:r>
        <w:rPr>
          <w:szCs w:val="22"/>
        </w:rPr>
        <w:tab/>
        <w:t>Galimas šalutinis poveikis</w:t>
      </w:r>
    </w:p>
    <w:p w:rsidR="00A4279D" w:rsidRDefault="00A4279D" w:rsidP="00A4279D">
      <w:pPr>
        <w:tabs>
          <w:tab w:val="left" w:pos="567"/>
        </w:tabs>
        <w:rPr>
          <w:szCs w:val="22"/>
        </w:rPr>
      </w:pPr>
      <w:r>
        <w:rPr>
          <w:szCs w:val="22"/>
        </w:rPr>
        <w:t>5.</w:t>
      </w:r>
      <w:r>
        <w:rPr>
          <w:szCs w:val="22"/>
        </w:rPr>
        <w:tab/>
        <w:t xml:space="preserve">Kaip laikyti LORINDEN C </w:t>
      </w:r>
    </w:p>
    <w:p w:rsidR="00A4279D" w:rsidRDefault="00A4279D" w:rsidP="00A4279D">
      <w:pPr>
        <w:tabs>
          <w:tab w:val="left" w:pos="567"/>
        </w:tabs>
        <w:rPr>
          <w:szCs w:val="22"/>
        </w:rPr>
      </w:pPr>
      <w:r>
        <w:rPr>
          <w:szCs w:val="22"/>
        </w:rPr>
        <w:t>6.</w:t>
      </w:r>
      <w:r>
        <w:rPr>
          <w:szCs w:val="22"/>
        </w:rPr>
        <w:tab/>
        <w:t>Pakuotės turinys ir kita informacija</w:t>
      </w:r>
    </w:p>
    <w:p w:rsidR="00A4279D" w:rsidRDefault="00A4279D" w:rsidP="00A4279D">
      <w:pPr>
        <w:tabs>
          <w:tab w:val="left" w:pos="567"/>
        </w:tabs>
        <w:rPr>
          <w:szCs w:val="22"/>
        </w:rPr>
      </w:pPr>
    </w:p>
    <w:p w:rsidR="00A4279D" w:rsidRDefault="00A4279D" w:rsidP="00A4279D">
      <w:pPr>
        <w:tabs>
          <w:tab w:val="left" w:pos="567"/>
        </w:tabs>
        <w:rPr>
          <w:szCs w:val="22"/>
        </w:rPr>
      </w:pPr>
    </w:p>
    <w:p w:rsidR="00A4279D" w:rsidRDefault="00A4279D" w:rsidP="00A4279D">
      <w:pPr>
        <w:tabs>
          <w:tab w:val="left" w:pos="567"/>
        </w:tabs>
        <w:rPr>
          <w:b/>
          <w:caps/>
          <w:szCs w:val="22"/>
        </w:rPr>
      </w:pPr>
      <w:r>
        <w:rPr>
          <w:b/>
          <w:caps/>
          <w:szCs w:val="22"/>
        </w:rPr>
        <w:t>1.</w:t>
      </w:r>
      <w:r>
        <w:rPr>
          <w:b/>
          <w:caps/>
          <w:szCs w:val="22"/>
        </w:rPr>
        <w:tab/>
      </w:r>
      <w:r>
        <w:rPr>
          <w:rFonts w:eastAsia="SimSun"/>
          <w:b/>
        </w:rPr>
        <w:t>Kas yra LORINDEN C ir kam jis vartojamas</w:t>
      </w:r>
    </w:p>
    <w:p w:rsidR="00A4279D" w:rsidRDefault="00A4279D" w:rsidP="00A4279D">
      <w:pPr>
        <w:tabs>
          <w:tab w:val="left" w:pos="567"/>
        </w:tabs>
        <w:rPr>
          <w:szCs w:val="22"/>
        </w:rPr>
      </w:pPr>
    </w:p>
    <w:p w:rsidR="00A4279D" w:rsidRDefault="00A4279D" w:rsidP="00A4279D">
      <w:pPr>
        <w:tabs>
          <w:tab w:val="left" w:pos="567"/>
        </w:tabs>
        <w:rPr>
          <w:szCs w:val="22"/>
        </w:rPr>
      </w:pPr>
      <w:r>
        <w:rPr>
          <w:szCs w:val="22"/>
        </w:rPr>
        <w:t xml:space="preserve">LORINDEN C tepalo savybės priklauso nuo veikliųjų medžiagų, </w:t>
      </w:r>
      <w:proofErr w:type="spellStart"/>
      <w:r>
        <w:rPr>
          <w:szCs w:val="22"/>
        </w:rPr>
        <w:t>t.y</w:t>
      </w:r>
      <w:proofErr w:type="spellEnd"/>
      <w:r>
        <w:rPr>
          <w:szCs w:val="22"/>
        </w:rPr>
        <w:t xml:space="preserve">. </w:t>
      </w:r>
      <w:proofErr w:type="spellStart"/>
      <w:r>
        <w:rPr>
          <w:szCs w:val="22"/>
        </w:rPr>
        <w:t>flumetazono</w:t>
      </w:r>
      <w:proofErr w:type="spellEnd"/>
      <w:r>
        <w:rPr>
          <w:szCs w:val="22"/>
        </w:rPr>
        <w:t xml:space="preserve"> </w:t>
      </w:r>
      <w:proofErr w:type="spellStart"/>
      <w:r>
        <w:rPr>
          <w:szCs w:val="22"/>
        </w:rPr>
        <w:t>pivalato</w:t>
      </w:r>
      <w:proofErr w:type="spellEnd"/>
      <w:r>
        <w:rPr>
          <w:szCs w:val="22"/>
        </w:rPr>
        <w:t xml:space="preserve"> ir </w:t>
      </w:r>
      <w:proofErr w:type="spellStart"/>
      <w:r>
        <w:rPr>
          <w:szCs w:val="22"/>
        </w:rPr>
        <w:t>kliokvinolio</w:t>
      </w:r>
      <w:proofErr w:type="spellEnd"/>
      <w:r>
        <w:rPr>
          <w:szCs w:val="22"/>
        </w:rPr>
        <w:t>, bendro poveikio.</w:t>
      </w:r>
    </w:p>
    <w:p w:rsidR="00A4279D" w:rsidRDefault="00A4279D" w:rsidP="00A4279D">
      <w:pPr>
        <w:tabs>
          <w:tab w:val="left" w:pos="567"/>
        </w:tabs>
        <w:rPr>
          <w:szCs w:val="22"/>
        </w:rPr>
      </w:pPr>
      <w:proofErr w:type="spellStart"/>
      <w:r>
        <w:rPr>
          <w:szCs w:val="22"/>
        </w:rPr>
        <w:t>Flumetazono</w:t>
      </w:r>
      <w:proofErr w:type="spellEnd"/>
      <w:r>
        <w:rPr>
          <w:szCs w:val="22"/>
        </w:rPr>
        <w:t xml:space="preserve"> </w:t>
      </w:r>
      <w:proofErr w:type="spellStart"/>
      <w:r>
        <w:rPr>
          <w:szCs w:val="22"/>
        </w:rPr>
        <w:t>pivalatas</w:t>
      </w:r>
      <w:proofErr w:type="spellEnd"/>
      <w:r>
        <w:rPr>
          <w:szCs w:val="22"/>
        </w:rPr>
        <w:t xml:space="preserve"> yra sintetinis </w:t>
      </w:r>
      <w:proofErr w:type="spellStart"/>
      <w:r>
        <w:rPr>
          <w:szCs w:val="22"/>
        </w:rPr>
        <w:t>gliukokortikosteroidas</w:t>
      </w:r>
      <w:proofErr w:type="spellEnd"/>
      <w:r>
        <w:rPr>
          <w:szCs w:val="22"/>
        </w:rPr>
        <w:t xml:space="preserve">, sukeliantis vidutinio stiprumo poveikį, dėl kurio mažėja uždegimas. Jei vaisto vartojama tepalo forma, poveikis būna vidutinio stiprumo. </w:t>
      </w:r>
    </w:p>
    <w:p w:rsidR="00A4279D" w:rsidRDefault="00A4279D" w:rsidP="00A4279D">
      <w:pPr>
        <w:tabs>
          <w:tab w:val="left" w:pos="567"/>
        </w:tabs>
        <w:rPr>
          <w:szCs w:val="22"/>
        </w:rPr>
      </w:pPr>
      <w:r>
        <w:rPr>
          <w:szCs w:val="22"/>
        </w:rPr>
        <w:t>Tepalas gerai tirpsta riebaluose, todėl gerai įsiskverbia į raginį odos sluoksnį ir ilgai malšina uždegimą, niežulį bei alergiją.</w:t>
      </w:r>
    </w:p>
    <w:p w:rsidR="00A4279D" w:rsidRDefault="00A4279D" w:rsidP="00A4279D">
      <w:pPr>
        <w:tabs>
          <w:tab w:val="left" w:pos="567"/>
        </w:tabs>
        <w:rPr>
          <w:szCs w:val="22"/>
        </w:rPr>
      </w:pPr>
      <w:proofErr w:type="spellStart"/>
      <w:r>
        <w:rPr>
          <w:szCs w:val="22"/>
        </w:rPr>
        <w:t>Kliokvinolis</w:t>
      </w:r>
      <w:proofErr w:type="spellEnd"/>
      <w:r>
        <w:rPr>
          <w:szCs w:val="22"/>
        </w:rPr>
        <w:t xml:space="preserve"> sukelia antibakterinį poveikį </w:t>
      </w:r>
      <w:proofErr w:type="spellStart"/>
      <w:r>
        <w:rPr>
          <w:szCs w:val="22"/>
        </w:rPr>
        <w:t>gramteigiamoms</w:t>
      </w:r>
      <w:proofErr w:type="spellEnd"/>
      <w:r>
        <w:rPr>
          <w:szCs w:val="22"/>
        </w:rPr>
        <w:t xml:space="preserve"> ir </w:t>
      </w:r>
      <w:proofErr w:type="spellStart"/>
      <w:r>
        <w:rPr>
          <w:szCs w:val="22"/>
        </w:rPr>
        <w:t>gramneigiamoms</w:t>
      </w:r>
      <w:proofErr w:type="spellEnd"/>
      <w:r>
        <w:rPr>
          <w:szCs w:val="22"/>
        </w:rPr>
        <w:t xml:space="preserve"> bakterijoms bei silpną </w:t>
      </w:r>
      <w:proofErr w:type="spellStart"/>
      <w:r>
        <w:rPr>
          <w:szCs w:val="22"/>
        </w:rPr>
        <w:t>antigrybelinį</w:t>
      </w:r>
      <w:proofErr w:type="spellEnd"/>
      <w:r>
        <w:rPr>
          <w:szCs w:val="22"/>
        </w:rPr>
        <w:t xml:space="preserve"> poveikį.</w:t>
      </w:r>
    </w:p>
    <w:p w:rsidR="00A4279D" w:rsidRDefault="00A4279D" w:rsidP="00A4279D">
      <w:pPr>
        <w:tabs>
          <w:tab w:val="left" w:pos="567"/>
        </w:tabs>
        <w:rPr>
          <w:szCs w:val="22"/>
        </w:rPr>
      </w:pPr>
      <w:r>
        <w:rPr>
          <w:szCs w:val="22"/>
        </w:rPr>
        <w:t xml:space="preserve">LORINDEN C tepalu gydomas lokalus odos uždegimas, ypač susijęs su bakterinės infekcijos sukeltomis komplikacijomis, dėl kurių atsiranda </w:t>
      </w:r>
      <w:proofErr w:type="spellStart"/>
      <w:r>
        <w:rPr>
          <w:szCs w:val="22"/>
        </w:rPr>
        <w:t>hiperkeratozė</w:t>
      </w:r>
      <w:proofErr w:type="spellEnd"/>
      <w:r>
        <w:rPr>
          <w:szCs w:val="22"/>
        </w:rPr>
        <w:t xml:space="preserve"> ir nuolatinis niežulys, sergant </w:t>
      </w:r>
      <w:proofErr w:type="spellStart"/>
      <w:r>
        <w:t>seborėjiniu</w:t>
      </w:r>
      <w:proofErr w:type="spellEnd"/>
      <w:r>
        <w:t xml:space="preserve"> dermatitu, </w:t>
      </w:r>
      <w:proofErr w:type="spellStart"/>
      <w:r>
        <w:t>atopiniu</w:t>
      </w:r>
      <w:proofErr w:type="spellEnd"/>
      <w:r>
        <w:t xml:space="preserve"> dermatitu, paprastąja </w:t>
      </w:r>
      <w:proofErr w:type="spellStart"/>
      <w:r>
        <w:t>kerplige</w:t>
      </w:r>
      <w:proofErr w:type="spellEnd"/>
      <w:r>
        <w:t xml:space="preserve">, plokščiąja </w:t>
      </w:r>
      <w:proofErr w:type="spellStart"/>
      <w:r>
        <w:t>kerplige</w:t>
      </w:r>
      <w:proofErr w:type="spellEnd"/>
      <w:r>
        <w:t xml:space="preserve">, alergine kontaktiniu dermatitu, daugiaforme </w:t>
      </w:r>
      <w:proofErr w:type="spellStart"/>
      <w:r>
        <w:t>eritema</w:t>
      </w:r>
      <w:proofErr w:type="spellEnd"/>
      <w:r>
        <w:t>, raudonąja vilklige, įsisenėjusia psoriaze</w:t>
      </w:r>
      <w:r>
        <w:rPr>
          <w:szCs w:val="22"/>
        </w:rPr>
        <w:t>.</w:t>
      </w:r>
    </w:p>
    <w:p w:rsidR="00A4279D" w:rsidRDefault="00A4279D" w:rsidP="00A4279D">
      <w:pPr>
        <w:tabs>
          <w:tab w:val="left" w:pos="567"/>
        </w:tabs>
        <w:rPr>
          <w:szCs w:val="22"/>
        </w:rPr>
      </w:pPr>
    </w:p>
    <w:p w:rsidR="00A4279D" w:rsidRDefault="00A4279D" w:rsidP="00A4279D">
      <w:pPr>
        <w:tabs>
          <w:tab w:val="left" w:pos="567"/>
        </w:tabs>
        <w:rPr>
          <w:szCs w:val="22"/>
        </w:rPr>
      </w:pPr>
      <w:r>
        <w:rPr>
          <w:szCs w:val="22"/>
        </w:rPr>
        <w:t>LORINDEN C tepalas tinka sausai, uždegimo pažeistai, odai gydyti.</w:t>
      </w:r>
    </w:p>
    <w:p w:rsidR="00A4279D" w:rsidRDefault="00A4279D" w:rsidP="00A4279D">
      <w:pPr>
        <w:tabs>
          <w:tab w:val="left" w:pos="567"/>
        </w:tabs>
        <w:rPr>
          <w:b/>
          <w:caps/>
          <w:szCs w:val="22"/>
        </w:rPr>
      </w:pPr>
    </w:p>
    <w:p w:rsidR="00A4279D" w:rsidRDefault="00A4279D" w:rsidP="00A4279D">
      <w:pPr>
        <w:tabs>
          <w:tab w:val="left" w:pos="567"/>
        </w:tabs>
        <w:rPr>
          <w:b/>
          <w:caps/>
          <w:szCs w:val="22"/>
        </w:rPr>
      </w:pPr>
    </w:p>
    <w:p w:rsidR="00A4279D" w:rsidRDefault="00A4279D" w:rsidP="00A4279D">
      <w:pPr>
        <w:keepNext/>
        <w:tabs>
          <w:tab w:val="left" w:pos="567"/>
        </w:tabs>
        <w:spacing w:line="260" w:lineRule="exact"/>
        <w:jc w:val="both"/>
        <w:outlineLvl w:val="3"/>
        <w:rPr>
          <w:rFonts w:eastAsia="SimSun"/>
          <w:b/>
          <w:szCs w:val="22"/>
          <w:lang w:eastAsia="en-US"/>
        </w:rPr>
      </w:pPr>
      <w:r>
        <w:rPr>
          <w:b/>
          <w:caps/>
          <w:szCs w:val="22"/>
        </w:rPr>
        <w:t>2.</w:t>
      </w:r>
      <w:r>
        <w:rPr>
          <w:b/>
          <w:caps/>
          <w:szCs w:val="22"/>
        </w:rPr>
        <w:tab/>
      </w:r>
      <w:r>
        <w:rPr>
          <w:rFonts w:eastAsia="SimSun"/>
          <w:b/>
          <w:szCs w:val="22"/>
          <w:lang w:eastAsia="en-US"/>
        </w:rPr>
        <w:t xml:space="preserve">Kas žinotina prieš vartojant LORINDEN C </w:t>
      </w:r>
    </w:p>
    <w:p w:rsidR="00A4279D" w:rsidRDefault="00A4279D" w:rsidP="00A4279D">
      <w:pPr>
        <w:tabs>
          <w:tab w:val="left" w:pos="567"/>
        </w:tabs>
        <w:rPr>
          <w:szCs w:val="22"/>
        </w:rPr>
      </w:pPr>
    </w:p>
    <w:p w:rsidR="00A4279D" w:rsidRDefault="00A4279D" w:rsidP="00A4279D">
      <w:pPr>
        <w:pStyle w:val="PI-3EMEASMCA"/>
      </w:pPr>
      <w:r>
        <w:t xml:space="preserve">LORINDEN C </w:t>
      </w:r>
      <w:r w:rsidRPr="00100DEA">
        <w:t>vartoti draudžiama:</w:t>
      </w:r>
    </w:p>
    <w:p w:rsidR="00A4279D" w:rsidRDefault="00A4279D" w:rsidP="00A4279D">
      <w:pPr>
        <w:pStyle w:val="BT-EMEASMCA"/>
      </w:pPr>
      <w:r>
        <w:t xml:space="preserve">jeigu yra alergija veikliosioms medžiagoms arba bet kuriai pagalbinei šio vaisto medžiagai (jos išvardytos 6 skyriuje); </w:t>
      </w:r>
    </w:p>
    <w:p w:rsidR="00A4279D" w:rsidRDefault="00A4279D" w:rsidP="00A4279D">
      <w:pPr>
        <w:pStyle w:val="BT-EMEASMCA"/>
      </w:pPr>
      <w:r>
        <w:t>jeigu yra alergija kitiems kortikosteroidams;</w:t>
      </w:r>
    </w:p>
    <w:p w:rsidR="00A4279D" w:rsidRDefault="00A4279D" w:rsidP="00A4279D">
      <w:pPr>
        <w:pStyle w:val="BT-EMEASMCA"/>
      </w:pPr>
      <w:r>
        <w:t>jeigu yra rožinė;</w:t>
      </w:r>
    </w:p>
    <w:p w:rsidR="00A4279D" w:rsidRDefault="00A4279D" w:rsidP="00A4279D">
      <w:pPr>
        <w:pStyle w:val="BT-EMEASMCA"/>
      </w:pPr>
      <w:r>
        <w:t>jeigu yra paprastųjų spuogų;</w:t>
      </w:r>
    </w:p>
    <w:p w:rsidR="00A4279D" w:rsidRDefault="00A4279D" w:rsidP="00A4279D">
      <w:pPr>
        <w:pStyle w:val="BT-EMEASMCA"/>
      </w:pPr>
      <w:r>
        <w:t>jeigu yra apyburnio odos uždegimas;</w:t>
      </w:r>
    </w:p>
    <w:p w:rsidR="00A4279D" w:rsidRDefault="00A4279D" w:rsidP="00A4279D">
      <w:pPr>
        <w:pStyle w:val="BT-EMEASMCA"/>
      </w:pPr>
      <w:r>
        <w:t>jeigu yra odos virusinė infekcija (pvz., paprastoji pūslelinė, vėjaraupiai);</w:t>
      </w:r>
    </w:p>
    <w:p w:rsidR="00A4279D" w:rsidRDefault="00A4279D" w:rsidP="00A4279D">
      <w:pPr>
        <w:pStyle w:val="BT-EMEASMCA"/>
        <w:rPr>
          <w:noProof w:val="0"/>
        </w:rPr>
      </w:pPr>
      <w:r>
        <w:t xml:space="preserve">jeigu yra grybelinė arba bakterinė (pvz., tuberkuliozė) odos infekcija </w:t>
      </w:r>
    </w:p>
    <w:p w:rsidR="00A4279D" w:rsidRDefault="00A4279D" w:rsidP="00A4279D">
      <w:pPr>
        <w:pStyle w:val="BT-EMEASMCA"/>
      </w:pPr>
      <w:r>
        <w:t>jeigu yra perianalinės srities ir lytinių organų niežulys;</w:t>
      </w:r>
    </w:p>
    <w:p w:rsidR="00A4279D" w:rsidRDefault="00A4279D" w:rsidP="00A4279D">
      <w:pPr>
        <w:pStyle w:val="BT-EMEASMCA"/>
      </w:pPr>
      <w:r>
        <w:t>pirmaisiais trim nėštumo mėnesiais;</w:t>
      </w:r>
    </w:p>
    <w:p w:rsidR="00A4279D" w:rsidRDefault="00A4279D" w:rsidP="00A4279D">
      <w:pPr>
        <w:pStyle w:val="BT-EMEASMCA"/>
      </w:pPr>
      <w:r>
        <w:t>jeigu pacientas yra jaunesnis kaip 2 metų vaikas.</w:t>
      </w:r>
    </w:p>
    <w:p w:rsidR="00A4279D" w:rsidRPr="004552AA" w:rsidRDefault="00A4279D" w:rsidP="00A4279D">
      <w:pPr>
        <w:pStyle w:val="BT-EMEASMCA"/>
      </w:pPr>
    </w:p>
    <w:p w:rsidR="00A4279D" w:rsidRDefault="00A4279D" w:rsidP="00A4279D">
      <w:pPr>
        <w:keepNext/>
        <w:tabs>
          <w:tab w:val="left" w:pos="567"/>
        </w:tabs>
        <w:spacing w:line="260" w:lineRule="exact"/>
        <w:jc w:val="both"/>
        <w:outlineLvl w:val="3"/>
        <w:rPr>
          <w:rFonts w:eastAsia="SimSun"/>
          <w:b/>
        </w:rPr>
      </w:pPr>
      <w:r>
        <w:rPr>
          <w:rFonts w:eastAsia="SimSun"/>
          <w:b/>
        </w:rPr>
        <w:lastRenderedPageBreak/>
        <w:t xml:space="preserve">Įspėjimai ir atsargumo priemonės </w:t>
      </w:r>
    </w:p>
    <w:p w:rsidR="00A4279D" w:rsidRDefault="00A4279D" w:rsidP="00A4279D">
      <w:pPr>
        <w:numPr>
          <w:ilvl w:val="12"/>
          <w:numId w:val="0"/>
        </w:numPr>
        <w:ind w:right="-2"/>
        <w:rPr>
          <w:rFonts w:eastAsia="SimSun"/>
          <w:lang w:eastAsia="zh-CN"/>
        </w:rPr>
      </w:pPr>
      <w:r>
        <w:rPr>
          <w:rFonts w:eastAsia="SimSun"/>
          <w:lang w:eastAsia="zh-CN"/>
        </w:rPr>
        <w:t>Pasitarkite su gydytoju arba vaistininku, prieš pradėdami vartoti LORINDEN C:</w:t>
      </w:r>
    </w:p>
    <w:p w:rsidR="00A4279D" w:rsidRDefault="00A4279D" w:rsidP="00A4279D">
      <w:pPr>
        <w:pStyle w:val="BT-EMEASMCA"/>
        <w:numPr>
          <w:ilvl w:val="0"/>
          <w:numId w:val="1"/>
        </w:numPr>
      </w:pPr>
      <w:r>
        <w:t>jeigu buvo pasireiškusi alerginė reakcija kokiam nors kremui ar tepalui;</w:t>
      </w:r>
    </w:p>
    <w:p w:rsidR="00A4279D" w:rsidRDefault="00A4279D" w:rsidP="00A4279D"/>
    <w:p w:rsidR="00A4279D" w:rsidRDefault="00A4279D" w:rsidP="00A4279D">
      <w:r>
        <w:t>Tačiau ir tokiais atvejais gydytojas gali Jums skirti šio tepalo.</w:t>
      </w:r>
    </w:p>
    <w:p w:rsidR="00A4279D" w:rsidRDefault="00A4279D" w:rsidP="00A4279D"/>
    <w:p w:rsidR="00A4279D" w:rsidRDefault="00A4279D" w:rsidP="00A4279D">
      <w:pPr>
        <w:tabs>
          <w:tab w:val="left" w:pos="567"/>
        </w:tabs>
        <w:rPr>
          <w:szCs w:val="22"/>
        </w:rPr>
      </w:pPr>
      <w:r w:rsidRPr="00571E44">
        <w:t>Ne</w:t>
      </w:r>
      <w:r>
        <w:t xml:space="preserve">vartokite </w:t>
      </w:r>
      <w:r w:rsidRPr="00571E44">
        <w:t>be pertraukos ilgiau nei 2 savaites</w:t>
      </w:r>
      <w:r>
        <w:t xml:space="preserve">. </w:t>
      </w:r>
      <w:r w:rsidRPr="00571E44">
        <w:t xml:space="preserve">Ilgai vartojant </w:t>
      </w:r>
      <w:r>
        <w:t xml:space="preserve">ant </w:t>
      </w:r>
      <w:r w:rsidRPr="00571E44">
        <w:t>didel</w:t>
      </w:r>
      <w:r>
        <w:t>io</w:t>
      </w:r>
      <w:r w:rsidRPr="00571E44">
        <w:t xml:space="preserve"> odos plot</w:t>
      </w:r>
      <w:r>
        <w:t>o</w:t>
      </w:r>
      <w:r w:rsidRPr="00571E44">
        <w:t>, gali padidėti nepageidaujamo poveikio dažnis.</w:t>
      </w:r>
      <w:r w:rsidRPr="00571E44">
        <w:rPr>
          <w:rFonts w:eastAsia="SimSun"/>
          <w:lang w:eastAsia="zh-CN"/>
        </w:rPr>
        <w:t xml:space="preserve"> </w:t>
      </w:r>
      <w:r>
        <w:rPr>
          <w:szCs w:val="22"/>
        </w:rPr>
        <w:t xml:space="preserve">Lokaliai vartojant </w:t>
      </w:r>
      <w:proofErr w:type="spellStart"/>
      <w:r>
        <w:rPr>
          <w:szCs w:val="22"/>
        </w:rPr>
        <w:t>flumetazono</w:t>
      </w:r>
      <w:proofErr w:type="spellEnd"/>
      <w:r>
        <w:rPr>
          <w:szCs w:val="22"/>
        </w:rPr>
        <w:t xml:space="preserve"> </w:t>
      </w:r>
      <w:proofErr w:type="spellStart"/>
      <w:r>
        <w:rPr>
          <w:szCs w:val="22"/>
        </w:rPr>
        <w:t>pivalato</w:t>
      </w:r>
      <w:proofErr w:type="spellEnd"/>
      <w:r>
        <w:rPr>
          <w:szCs w:val="22"/>
        </w:rPr>
        <w:t xml:space="preserve"> galimas antinksčių ir </w:t>
      </w:r>
      <w:proofErr w:type="spellStart"/>
      <w:r>
        <w:rPr>
          <w:szCs w:val="22"/>
        </w:rPr>
        <w:t>hipofizės</w:t>
      </w:r>
      <w:proofErr w:type="spellEnd"/>
      <w:r>
        <w:rPr>
          <w:szCs w:val="22"/>
        </w:rPr>
        <w:t xml:space="preserve"> sistemos slopinimas, todėl </w:t>
      </w:r>
      <w:proofErr w:type="spellStart"/>
      <w:r>
        <w:rPr>
          <w:szCs w:val="22"/>
        </w:rPr>
        <w:t>hipofizėje</w:t>
      </w:r>
      <w:proofErr w:type="spellEnd"/>
      <w:r>
        <w:rPr>
          <w:szCs w:val="22"/>
        </w:rPr>
        <w:t xml:space="preserve"> mažėja </w:t>
      </w:r>
      <w:proofErr w:type="spellStart"/>
      <w:r>
        <w:rPr>
          <w:szCs w:val="22"/>
        </w:rPr>
        <w:t>adrenokortikotropinio</w:t>
      </w:r>
      <w:proofErr w:type="spellEnd"/>
      <w:r>
        <w:rPr>
          <w:szCs w:val="22"/>
        </w:rPr>
        <w:t xml:space="preserve"> hormono (AKTH) sekrecija bei kortizolio koncentracija kraujyje, atsiranda vaistų sukeltas </w:t>
      </w:r>
      <w:proofErr w:type="spellStart"/>
      <w:r>
        <w:rPr>
          <w:szCs w:val="22"/>
        </w:rPr>
        <w:t>Kušingo</w:t>
      </w:r>
      <w:proofErr w:type="spellEnd"/>
      <w:r>
        <w:rPr>
          <w:szCs w:val="22"/>
        </w:rPr>
        <w:t xml:space="preserve"> sindromas (simptomų visuma, sukelta per didelio steroidinių hormonų, vadinamų </w:t>
      </w:r>
      <w:proofErr w:type="spellStart"/>
      <w:r>
        <w:rPr>
          <w:szCs w:val="22"/>
        </w:rPr>
        <w:t>gliukokortikoidais</w:t>
      </w:r>
      <w:proofErr w:type="spellEnd"/>
      <w:r>
        <w:rPr>
          <w:szCs w:val="22"/>
        </w:rPr>
        <w:t>, kiekio organizme). Pastarasis sutrikimas, nutraukus gydymą, išnyksta.</w:t>
      </w:r>
    </w:p>
    <w:p w:rsidR="00A4279D" w:rsidRDefault="00A4279D" w:rsidP="00A4279D">
      <w:pPr>
        <w:tabs>
          <w:tab w:val="left" w:pos="567"/>
        </w:tabs>
        <w:rPr>
          <w:szCs w:val="22"/>
        </w:rPr>
      </w:pPr>
      <w:r>
        <w:t>Norėdamas ištirti antinksčių funkciją, gydytojas gali nurodyti atlikti tam tikrus kraujo ir šlapimo tyrimus.</w:t>
      </w:r>
    </w:p>
    <w:p w:rsidR="00A4279D" w:rsidRDefault="00A4279D" w:rsidP="00A4279D">
      <w:pPr>
        <w:tabs>
          <w:tab w:val="left" w:pos="567"/>
        </w:tabs>
        <w:rPr>
          <w:szCs w:val="22"/>
        </w:rPr>
      </w:pPr>
    </w:p>
    <w:p w:rsidR="00A4279D" w:rsidRDefault="00A4279D" w:rsidP="00A4279D">
      <w:pPr>
        <w:tabs>
          <w:tab w:val="left" w:pos="567"/>
        </w:tabs>
        <w:rPr>
          <w:szCs w:val="22"/>
        </w:rPr>
      </w:pPr>
      <w:r>
        <w:rPr>
          <w:szCs w:val="22"/>
        </w:rPr>
        <w:t>Jei tepalu pateptoje srityje atsiranda infekcija ir ji paūmėja, būtina pradėti tinkamai gydyti nuo bakterijų arba grybelių. Jei infekcijos sukelti simptomai nesilpnėja, tepalo vartojimą reikia nutraukti ir nevartoti tol, kol gydoma infekcija.</w:t>
      </w:r>
    </w:p>
    <w:p w:rsidR="00A4279D" w:rsidRDefault="00A4279D" w:rsidP="00A4279D">
      <w:pPr>
        <w:tabs>
          <w:tab w:val="left" w:pos="567"/>
        </w:tabs>
        <w:rPr>
          <w:szCs w:val="22"/>
        </w:rPr>
      </w:pPr>
    </w:p>
    <w:p w:rsidR="00A4279D" w:rsidRDefault="00A4279D" w:rsidP="00A4279D">
      <w:r w:rsidRPr="00642A89">
        <w:t xml:space="preserve">Vengti patekimo į akis ir </w:t>
      </w:r>
      <w:r>
        <w:t>ant gleivinių. Reikia vengti vaisto tepti ant akių vokų ar odos aplink akių vokus jeigu Jūs sergate uždaro ar atviro kampo glaukoma arba  katarakta, nes gali sustiprėti šių ligų simptomai.</w:t>
      </w:r>
    </w:p>
    <w:p w:rsidR="00A4279D" w:rsidRDefault="00A4279D" w:rsidP="00A4279D">
      <w:pPr>
        <w:tabs>
          <w:tab w:val="left" w:pos="567"/>
        </w:tabs>
        <w:rPr>
          <w:iCs/>
        </w:rPr>
      </w:pPr>
    </w:p>
    <w:p w:rsidR="00A4279D" w:rsidRDefault="00A4279D" w:rsidP="00A4279D">
      <w:pPr>
        <w:tabs>
          <w:tab w:val="left" w:pos="567"/>
        </w:tabs>
      </w:pPr>
      <w:r>
        <w:rPr>
          <w:iCs/>
        </w:rPr>
        <w:t>Veido odą,</w:t>
      </w:r>
      <w:r w:rsidRPr="00622804">
        <w:rPr>
          <w:iCs/>
        </w:rPr>
        <w:t xml:space="preserve"> pažastų bei kirkšnių odą </w:t>
      </w:r>
      <w:r>
        <w:t>galima tepti tik neabejotinai būtinu atveju</w:t>
      </w:r>
      <w:r>
        <w:rPr>
          <w:iCs/>
        </w:rPr>
        <w:t xml:space="preserve">, </w:t>
      </w:r>
      <w:r>
        <w:t>nes net trumpai pavartojus vaisto, jautriose srityse didėja kortikosteroido absorbcija ir nepageidaujamo poveikio (odos kraujagyslių išsiplėtimo, apyburnio dermatito ar odos suplonėjimo) tikimybė.</w:t>
      </w:r>
    </w:p>
    <w:p w:rsidR="00A4279D" w:rsidRDefault="00A4279D" w:rsidP="00A4279D">
      <w:pPr>
        <w:tabs>
          <w:tab w:val="left" w:pos="567"/>
        </w:tabs>
        <w:rPr>
          <w:iCs/>
        </w:rPr>
      </w:pPr>
      <w:r>
        <w:rPr>
          <w:iCs/>
        </w:rPr>
        <w:t>T</w:t>
      </w:r>
      <w:r w:rsidRPr="003A7999">
        <w:rPr>
          <w:iCs/>
        </w:rPr>
        <w:t>epal</w:t>
      </w:r>
      <w:r>
        <w:rPr>
          <w:iCs/>
        </w:rPr>
        <w:t xml:space="preserve">o vartoti po orui nepralaidžiu tvarsčiu </w:t>
      </w:r>
      <w:r>
        <w:t xml:space="preserve">galima tik išimtiniu atveju, nes tai gali sukelti </w:t>
      </w:r>
      <w:r>
        <w:rPr>
          <w:iCs/>
        </w:rPr>
        <w:t>paviršinio odos sluoksnio suplonėjimą</w:t>
      </w:r>
      <w:r w:rsidRPr="003A7999">
        <w:rPr>
          <w:iCs/>
        </w:rPr>
        <w:t xml:space="preserve">, odos </w:t>
      </w:r>
      <w:proofErr w:type="spellStart"/>
      <w:r w:rsidRPr="003A7999">
        <w:rPr>
          <w:iCs/>
        </w:rPr>
        <w:t>strijas</w:t>
      </w:r>
      <w:proofErr w:type="spellEnd"/>
      <w:r w:rsidRPr="003A7999">
        <w:rPr>
          <w:iCs/>
        </w:rPr>
        <w:t xml:space="preserve"> ir </w:t>
      </w:r>
      <w:proofErr w:type="spellStart"/>
      <w:r w:rsidRPr="003A7999">
        <w:rPr>
          <w:iCs/>
        </w:rPr>
        <w:t>superinfekciją</w:t>
      </w:r>
      <w:proofErr w:type="spellEnd"/>
      <w:r w:rsidRPr="003A7999">
        <w:rPr>
          <w:iCs/>
        </w:rPr>
        <w:t>.</w:t>
      </w:r>
    </w:p>
    <w:p w:rsidR="00A4279D" w:rsidRDefault="00A4279D" w:rsidP="00A4279D">
      <w:pPr>
        <w:tabs>
          <w:tab w:val="left" w:pos="567"/>
        </w:tabs>
        <w:rPr>
          <w:iCs/>
        </w:rPr>
      </w:pPr>
    </w:p>
    <w:p w:rsidR="00A4279D" w:rsidRDefault="00A4279D" w:rsidP="00A4279D">
      <w:r>
        <w:t>Jeigu jau yra poodinio audinio suplonėjimas vaisto reikia vartoti atsargiai, ypač senyviems pacientams.</w:t>
      </w:r>
    </w:p>
    <w:p w:rsidR="00A4279D" w:rsidRPr="00642A89" w:rsidRDefault="00A4279D" w:rsidP="00A4279D">
      <w:pPr>
        <w:tabs>
          <w:tab w:val="left" w:pos="567"/>
        </w:tabs>
        <w:rPr>
          <w:iCs/>
        </w:rPr>
      </w:pPr>
      <w:r w:rsidRPr="00F868F6">
        <w:rPr>
          <w:iCs/>
        </w:rPr>
        <w:t xml:space="preserve">Gali pasireikšti </w:t>
      </w:r>
      <w:r>
        <w:rPr>
          <w:iCs/>
        </w:rPr>
        <w:t>toksinis poveikis nervų sistemai</w:t>
      </w:r>
      <w:r w:rsidRPr="00F868F6">
        <w:rPr>
          <w:iCs/>
        </w:rPr>
        <w:t xml:space="preserve">, atsirandantis dėl vietinio </w:t>
      </w:r>
      <w:proofErr w:type="spellStart"/>
      <w:r>
        <w:t>kliokvinolio</w:t>
      </w:r>
      <w:proofErr w:type="spellEnd"/>
      <w:r w:rsidRPr="00F868F6">
        <w:rPr>
          <w:iCs/>
        </w:rPr>
        <w:t xml:space="preserve"> vartojimo, ypač vartojant ilgai arba naudojant </w:t>
      </w:r>
      <w:r>
        <w:rPr>
          <w:iCs/>
        </w:rPr>
        <w:t>orui nepralaidų</w:t>
      </w:r>
      <w:r w:rsidRPr="00F868F6">
        <w:rPr>
          <w:iCs/>
        </w:rPr>
        <w:t xml:space="preserve"> tvarstį.</w:t>
      </w:r>
    </w:p>
    <w:p w:rsidR="00A4279D" w:rsidRDefault="00A4279D" w:rsidP="00A4279D">
      <w:pPr>
        <w:tabs>
          <w:tab w:val="left" w:pos="567"/>
        </w:tabs>
        <w:rPr>
          <w:i/>
        </w:rPr>
      </w:pPr>
    </w:p>
    <w:p w:rsidR="00A4279D" w:rsidRDefault="00A4279D" w:rsidP="00A4279D">
      <w:pPr>
        <w:tabs>
          <w:tab w:val="left" w:pos="567"/>
        </w:tabs>
        <w:rPr>
          <w:szCs w:val="22"/>
        </w:rPr>
      </w:pPr>
      <w:r>
        <w:t>Gali pasireikšti regėjimo sutrikimų. Jeigu pradėtumėte matyti lyg per miglą arba Jums pasireikštų kitų regėjimo sutrikimų, kreipkitės į savo gydytoją.</w:t>
      </w:r>
    </w:p>
    <w:p w:rsidR="00A4279D" w:rsidRDefault="00A4279D" w:rsidP="00A4279D">
      <w:pPr>
        <w:tabs>
          <w:tab w:val="left" w:pos="567"/>
        </w:tabs>
        <w:rPr>
          <w:szCs w:val="22"/>
        </w:rPr>
      </w:pPr>
    </w:p>
    <w:p w:rsidR="00A4279D" w:rsidRDefault="00A4279D" w:rsidP="00A4279D">
      <w:pPr>
        <w:tabs>
          <w:tab w:val="left" w:pos="567"/>
        </w:tabs>
        <w:rPr>
          <w:szCs w:val="22"/>
        </w:rPr>
      </w:pPr>
    </w:p>
    <w:p w:rsidR="00A4279D" w:rsidRDefault="00A4279D" w:rsidP="00A4279D">
      <w:pPr>
        <w:keepNext/>
        <w:tabs>
          <w:tab w:val="left" w:pos="567"/>
        </w:tabs>
        <w:spacing w:line="260" w:lineRule="exact"/>
        <w:jc w:val="both"/>
        <w:outlineLvl w:val="3"/>
        <w:rPr>
          <w:rFonts w:eastAsia="SimSun"/>
          <w:b/>
        </w:rPr>
      </w:pPr>
      <w:r>
        <w:rPr>
          <w:rFonts w:eastAsia="SimSun"/>
          <w:b/>
        </w:rPr>
        <w:t>Vaikams ir paaugliams</w:t>
      </w:r>
    </w:p>
    <w:p w:rsidR="00A4279D" w:rsidRDefault="00A4279D" w:rsidP="00A4279D">
      <w:r>
        <w:rPr>
          <w:rFonts w:eastAsia="SimSun"/>
          <w:lang w:eastAsia="zh-CN"/>
        </w:rPr>
        <w:t>LORINDEN C draudžiama vartoti vaikams iki 2 metų, kadangi yra abejonių dėl saugumo. Gydymas kortikosteroidais gali nepalankiai veikti vaiko augimą ir vystymąsi.</w:t>
      </w:r>
    </w:p>
    <w:p w:rsidR="00A4279D" w:rsidRDefault="00A4279D" w:rsidP="00A4279D">
      <w:pPr>
        <w:tabs>
          <w:tab w:val="left" w:pos="567"/>
        </w:tabs>
        <w:rPr>
          <w:szCs w:val="22"/>
        </w:rPr>
      </w:pPr>
    </w:p>
    <w:p w:rsidR="00A4279D" w:rsidRDefault="00A4279D" w:rsidP="00A4279D">
      <w:pPr>
        <w:pStyle w:val="PI-3EMEASMCA"/>
      </w:pPr>
      <w:r>
        <w:t>Kiti vaistai ir LORINDEN C</w:t>
      </w:r>
    </w:p>
    <w:p w:rsidR="00A4279D" w:rsidRDefault="00A4279D" w:rsidP="00A4279D">
      <w:pPr>
        <w:tabs>
          <w:tab w:val="left" w:pos="567"/>
        </w:tabs>
        <w:rPr>
          <w:noProof/>
        </w:rPr>
      </w:pPr>
      <w:r>
        <w:rPr>
          <w:noProof/>
        </w:rPr>
        <w:t>Jeigu vartojate ar neseniai vartojote kitų vaistų arba dėl to nesate tikri, apie tai pasakykite gydytojui arba vaistininkui.</w:t>
      </w:r>
    </w:p>
    <w:p w:rsidR="00A4279D" w:rsidRDefault="00A4279D" w:rsidP="00A4279D">
      <w:pPr>
        <w:tabs>
          <w:tab w:val="left" w:pos="567"/>
        </w:tabs>
        <w:rPr>
          <w:szCs w:val="22"/>
        </w:rPr>
      </w:pPr>
    </w:p>
    <w:p w:rsidR="00A4279D" w:rsidRDefault="00A4279D" w:rsidP="00A4279D">
      <w:pPr>
        <w:rPr>
          <w:szCs w:val="22"/>
        </w:rPr>
      </w:pPr>
      <w:r>
        <w:rPr>
          <w:szCs w:val="22"/>
        </w:rPr>
        <w:t>LORINDEN C tepalas gali stiprinti vaistų, slopinančių imuninę sistemą, poveikį ir mažinti imuninę sistemą stimuliuojančių vaistų poveikį.</w:t>
      </w:r>
    </w:p>
    <w:p w:rsidR="00A4279D" w:rsidRDefault="00A4279D" w:rsidP="00A4279D">
      <w:pPr>
        <w:pStyle w:val="BTEMEASMCA"/>
        <w:rPr>
          <w:noProof w:val="0"/>
        </w:rPr>
      </w:pPr>
    </w:p>
    <w:p w:rsidR="00A4279D" w:rsidRDefault="00A4279D" w:rsidP="00A4279D">
      <w:pPr>
        <w:pStyle w:val="PI-3EMEASMCA"/>
      </w:pPr>
      <w:r>
        <w:t>Nėštumas, žindymo laikotarpis ir vaisingumas</w:t>
      </w:r>
    </w:p>
    <w:p w:rsidR="00A4279D" w:rsidRDefault="00A4279D" w:rsidP="00A4279D">
      <w:pPr>
        <w:tabs>
          <w:tab w:val="left" w:pos="567"/>
        </w:tabs>
        <w:rPr>
          <w:noProof/>
        </w:rPr>
      </w:pPr>
      <w:r>
        <w:rPr>
          <w:noProof/>
        </w:rPr>
        <w:t>Jeigu esate nėščia, žindote kūdikį, manote, kad galbūt esate nėščia arba planuojate pastoti, tai prieš vartodama šį vaistą pasitarkite su gydytoju arba vaistininku.</w:t>
      </w:r>
    </w:p>
    <w:p w:rsidR="00A4279D" w:rsidRDefault="00A4279D" w:rsidP="00A4279D">
      <w:pPr>
        <w:tabs>
          <w:tab w:val="left" w:pos="567"/>
        </w:tabs>
        <w:rPr>
          <w:noProof/>
        </w:rPr>
      </w:pPr>
    </w:p>
    <w:p w:rsidR="00A4279D" w:rsidRDefault="00A4279D" w:rsidP="00A4279D">
      <w:pPr>
        <w:tabs>
          <w:tab w:val="left" w:pos="567"/>
        </w:tabs>
        <w:rPr>
          <w:szCs w:val="22"/>
        </w:rPr>
      </w:pPr>
      <w:r>
        <w:rPr>
          <w:szCs w:val="22"/>
        </w:rPr>
        <w:t>Nėščia moteris LORINDEN C tepalo gali vartoti tik tuo atveju, jei manoma, kad nauda bus didesnė už žalą. Vaisto ji gali vartoti tik labai trumpai ir juo tepti nedidelį odos plotą.</w:t>
      </w:r>
    </w:p>
    <w:p w:rsidR="00A4279D" w:rsidRDefault="00A4279D" w:rsidP="00A4279D">
      <w:pPr>
        <w:tabs>
          <w:tab w:val="left" w:pos="567"/>
        </w:tabs>
        <w:rPr>
          <w:szCs w:val="22"/>
        </w:rPr>
      </w:pPr>
    </w:p>
    <w:p w:rsidR="00A4279D" w:rsidRDefault="00A4279D" w:rsidP="00A4279D">
      <w:pPr>
        <w:tabs>
          <w:tab w:val="left" w:pos="567"/>
        </w:tabs>
        <w:rPr>
          <w:szCs w:val="22"/>
        </w:rPr>
      </w:pPr>
      <w:r>
        <w:rPr>
          <w:szCs w:val="22"/>
        </w:rPr>
        <w:t>Pirmųjų trijų nėštumo mėnesių laikotarpiu tepalo vartoti draudžiama.</w:t>
      </w:r>
    </w:p>
    <w:p w:rsidR="00A4279D" w:rsidRDefault="00A4279D" w:rsidP="00A4279D">
      <w:pPr>
        <w:tabs>
          <w:tab w:val="left" w:pos="567"/>
        </w:tabs>
        <w:rPr>
          <w:szCs w:val="22"/>
        </w:rPr>
      </w:pPr>
    </w:p>
    <w:p w:rsidR="00A4279D" w:rsidRDefault="00A4279D" w:rsidP="00A4279D">
      <w:pPr>
        <w:tabs>
          <w:tab w:val="left" w:pos="567"/>
        </w:tabs>
        <w:spacing w:line="260" w:lineRule="exact"/>
        <w:rPr>
          <w:rFonts w:eastAsia="SimSun"/>
          <w:lang w:eastAsia="zh-CN"/>
        </w:rPr>
      </w:pPr>
      <w:r>
        <w:lastRenderedPageBreak/>
        <w:t xml:space="preserve">Žindymo laikotarpiu moteriai, vartojančiai LORINDEN tepalo, rekomenduojama laikytis ypatingo atsargumo. </w:t>
      </w:r>
      <w:r>
        <w:rPr>
          <w:rFonts w:eastAsia="SimSun"/>
          <w:lang w:eastAsia="zh-CN"/>
        </w:rPr>
        <w:t>Jei būtina tepalo vartoti, juo reikia tepti tik nedidelį odos plotą. Vaisto vartoti ilgai ir krūtų tepti negalima.</w:t>
      </w:r>
    </w:p>
    <w:p w:rsidR="00A4279D" w:rsidRDefault="00A4279D" w:rsidP="00A4279D">
      <w:pPr>
        <w:tabs>
          <w:tab w:val="left" w:pos="567"/>
        </w:tabs>
        <w:spacing w:line="260" w:lineRule="exact"/>
        <w:rPr>
          <w:rFonts w:eastAsia="SimSun"/>
          <w:lang w:eastAsia="zh-CN"/>
        </w:rPr>
      </w:pPr>
    </w:p>
    <w:p w:rsidR="00A4279D" w:rsidRDefault="00A4279D" w:rsidP="00A4279D">
      <w:pPr>
        <w:tabs>
          <w:tab w:val="left" w:pos="567"/>
        </w:tabs>
      </w:pPr>
      <w:r>
        <w:rPr>
          <w:u w:val="single"/>
        </w:rPr>
        <w:t>Vaisingumas</w:t>
      </w:r>
    </w:p>
    <w:p w:rsidR="00A4279D" w:rsidRPr="00C16C63" w:rsidRDefault="00A4279D" w:rsidP="00A4279D">
      <w:pPr>
        <w:tabs>
          <w:tab w:val="left" w:pos="567"/>
        </w:tabs>
      </w:pPr>
      <w:proofErr w:type="spellStart"/>
      <w:r w:rsidRPr="003F1570">
        <w:t>Flumetazono</w:t>
      </w:r>
      <w:proofErr w:type="spellEnd"/>
      <w:r w:rsidRPr="003F1570">
        <w:t xml:space="preserve"> </w:t>
      </w:r>
      <w:proofErr w:type="spellStart"/>
      <w:r w:rsidRPr="003F1570">
        <w:t>pivalato</w:t>
      </w:r>
      <w:proofErr w:type="spellEnd"/>
      <w:r w:rsidRPr="003F1570">
        <w:t xml:space="preserve"> poveikis vaisingumui netirtas, tačiau</w:t>
      </w:r>
      <w:r>
        <w:t xml:space="preserve"> </w:t>
      </w:r>
      <w:r w:rsidRPr="003F1570">
        <w:t>apie tokį poveikį vaisingumui buvo pranešta vartojant kit</w:t>
      </w:r>
      <w:r>
        <w:t>ų</w:t>
      </w:r>
      <w:r w:rsidRPr="003F1570">
        <w:t xml:space="preserve"> </w:t>
      </w:r>
      <w:proofErr w:type="spellStart"/>
      <w:r w:rsidRPr="003F1570">
        <w:t>gliukokortikosteroid</w:t>
      </w:r>
      <w:r>
        <w:t>ų</w:t>
      </w:r>
      <w:proofErr w:type="spellEnd"/>
      <w:r w:rsidRPr="003F1570">
        <w:t>.</w:t>
      </w:r>
    </w:p>
    <w:p w:rsidR="00A4279D" w:rsidRDefault="00A4279D" w:rsidP="00A4279D">
      <w:pPr>
        <w:pStyle w:val="PI-3EMEASMCA"/>
      </w:pPr>
    </w:p>
    <w:p w:rsidR="00A4279D" w:rsidRDefault="00A4279D" w:rsidP="00A4279D">
      <w:pPr>
        <w:pStyle w:val="PI-3EMEASMCA"/>
      </w:pPr>
      <w:r>
        <w:t>Vairavimas ir mechanizmų valdymas</w:t>
      </w:r>
    </w:p>
    <w:p w:rsidR="00A4279D" w:rsidRDefault="00A4279D" w:rsidP="00A4279D">
      <w:pPr>
        <w:tabs>
          <w:tab w:val="left" w:pos="567"/>
        </w:tabs>
      </w:pPr>
      <w:r>
        <w:t>LORINDEN C tepalas gebėjimo vairuoti ir valdyti mechanizmus neveikia.</w:t>
      </w:r>
    </w:p>
    <w:p w:rsidR="00A4279D" w:rsidRDefault="00A4279D" w:rsidP="00A4279D">
      <w:pPr>
        <w:pStyle w:val="PI-3EMEASMCA"/>
      </w:pPr>
    </w:p>
    <w:p w:rsidR="00A4279D" w:rsidRDefault="00A4279D" w:rsidP="00A4279D">
      <w:pPr>
        <w:tabs>
          <w:tab w:val="left" w:pos="567"/>
        </w:tabs>
        <w:rPr>
          <w:kern w:val="16"/>
          <w:szCs w:val="22"/>
          <w:u w:val="single"/>
        </w:rPr>
      </w:pPr>
    </w:p>
    <w:p w:rsidR="00A4279D" w:rsidRDefault="00A4279D" w:rsidP="00A4279D">
      <w:pPr>
        <w:pStyle w:val="PI-1EMEASMCA"/>
      </w:pPr>
      <w:bookmarkStart w:id="2" w:name="_Toc129243141"/>
      <w:bookmarkStart w:id="3" w:name="_Toc129243266"/>
      <w:r>
        <w:t>3.</w:t>
      </w:r>
      <w:r>
        <w:tab/>
      </w:r>
      <w:r>
        <w:rPr>
          <w:rFonts w:eastAsia="SimSun"/>
        </w:rPr>
        <w:t>Kaip vartoti LORINDEN C</w:t>
      </w:r>
      <w:bookmarkEnd w:id="2"/>
      <w:bookmarkEnd w:id="3"/>
    </w:p>
    <w:p w:rsidR="00A4279D" w:rsidRDefault="00A4279D" w:rsidP="00A4279D">
      <w:pPr>
        <w:tabs>
          <w:tab w:val="left" w:pos="567"/>
        </w:tabs>
        <w:rPr>
          <w:szCs w:val="22"/>
        </w:rPr>
      </w:pPr>
    </w:p>
    <w:p w:rsidR="00A4279D" w:rsidRDefault="00A4279D" w:rsidP="00A4279D">
      <w:pPr>
        <w:tabs>
          <w:tab w:val="left" w:pos="567"/>
        </w:tabs>
      </w:pPr>
      <w:r>
        <w:t>Visada vartokite šį vaistą tiksliai, kaip nurodė gydytojas. Jeigu abejojate, kreipkitės į gydytoją.</w:t>
      </w:r>
    </w:p>
    <w:p w:rsidR="00A4279D" w:rsidRDefault="00A4279D" w:rsidP="00A4279D">
      <w:pPr>
        <w:tabs>
          <w:tab w:val="left" w:pos="567"/>
        </w:tabs>
      </w:pPr>
    </w:p>
    <w:p w:rsidR="00A4279D" w:rsidRDefault="00A4279D" w:rsidP="00A4279D">
      <w:pPr>
        <w:tabs>
          <w:tab w:val="left" w:pos="567"/>
        </w:tabs>
        <w:rPr>
          <w:b/>
        </w:rPr>
      </w:pPr>
      <w:r>
        <w:rPr>
          <w:b/>
        </w:rPr>
        <w:t>Suaugusiesiems</w:t>
      </w:r>
    </w:p>
    <w:p w:rsidR="00A4279D" w:rsidRDefault="00A4279D" w:rsidP="00A4279D">
      <w:pPr>
        <w:widowControl w:val="0"/>
        <w:tabs>
          <w:tab w:val="left" w:pos="567"/>
        </w:tabs>
        <w:rPr>
          <w:szCs w:val="22"/>
        </w:rPr>
      </w:pPr>
      <w:r>
        <w:rPr>
          <w:szCs w:val="22"/>
        </w:rPr>
        <w:t>Ne dažniau kaip 1 – 2 kartus per parą plonu tepalo sluoksniu reikia tepti pažeistą odos sritį.</w:t>
      </w:r>
    </w:p>
    <w:p w:rsidR="00A4279D" w:rsidRDefault="00A4279D" w:rsidP="00A4279D">
      <w:r>
        <w:t>Jei oda yra labai pašiurkštėjusi ar sustorėjusi, tepalo galima vartoti po orui nepralaidžiais tvarsčiais (juos būtina keisti kas 24 valandas).</w:t>
      </w:r>
    </w:p>
    <w:p w:rsidR="00A4279D" w:rsidRDefault="00A4279D" w:rsidP="00A4279D">
      <w:pPr>
        <w:pStyle w:val="Antrat4"/>
        <w:keepNext w:val="0"/>
        <w:widowControl w:val="0"/>
        <w:jc w:val="left"/>
        <w:rPr>
          <w:szCs w:val="22"/>
          <w:u w:val="none"/>
        </w:rPr>
      </w:pPr>
      <w:r>
        <w:rPr>
          <w:szCs w:val="22"/>
          <w:u w:val="none"/>
        </w:rPr>
        <w:t>Ilgiau kaip dvi savaites be pertraukos vaisto vartoti draudžiama. Juo tepti veido odą galima ne ilgiau kaip savaitę. Per savaitę galima suvartoti ne daugiau kaip 1 tūbelę tepalo.</w:t>
      </w:r>
    </w:p>
    <w:p w:rsidR="00A4279D" w:rsidRDefault="00A4279D" w:rsidP="00A4279D">
      <w:pPr>
        <w:tabs>
          <w:tab w:val="left" w:pos="567"/>
        </w:tabs>
        <w:ind w:left="567" w:hanging="567"/>
        <w:rPr>
          <w:b/>
          <w:szCs w:val="22"/>
        </w:rPr>
      </w:pPr>
    </w:p>
    <w:p w:rsidR="00A4279D" w:rsidRDefault="00A4279D" w:rsidP="00A4279D">
      <w:pPr>
        <w:tabs>
          <w:tab w:val="left" w:pos="567"/>
        </w:tabs>
        <w:rPr>
          <w:szCs w:val="22"/>
        </w:rPr>
      </w:pPr>
      <w:r>
        <w:rPr>
          <w:szCs w:val="22"/>
        </w:rPr>
        <w:t>Senyviems pacientams bei pacientams, kurių kepenų ar inkstų funkcija sutrikusi, dozės mažinti nereikia.</w:t>
      </w:r>
    </w:p>
    <w:p w:rsidR="00A4279D" w:rsidRDefault="00A4279D" w:rsidP="00A4279D">
      <w:pPr>
        <w:widowControl w:val="0"/>
        <w:tabs>
          <w:tab w:val="left" w:pos="567"/>
        </w:tabs>
        <w:rPr>
          <w:szCs w:val="22"/>
        </w:rPr>
      </w:pPr>
    </w:p>
    <w:p w:rsidR="00A4279D" w:rsidRDefault="00A4279D" w:rsidP="00A4279D">
      <w:pPr>
        <w:keepNext/>
        <w:tabs>
          <w:tab w:val="left" w:pos="567"/>
        </w:tabs>
        <w:spacing w:line="260" w:lineRule="exact"/>
        <w:jc w:val="both"/>
        <w:outlineLvl w:val="3"/>
        <w:rPr>
          <w:rFonts w:eastAsia="SimSun"/>
          <w:b/>
          <w:szCs w:val="22"/>
          <w:lang w:eastAsia="en-US"/>
        </w:rPr>
      </w:pPr>
      <w:r>
        <w:rPr>
          <w:rFonts w:eastAsia="SimSun"/>
          <w:b/>
          <w:szCs w:val="22"/>
          <w:lang w:eastAsia="en-US"/>
        </w:rPr>
        <w:t>Vartojimas vaikams ir paaugliams</w:t>
      </w:r>
    </w:p>
    <w:p w:rsidR="00A4279D" w:rsidRDefault="00A4279D" w:rsidP="00A4279D">
      <w:pPr>
        <w:tabs>
          <w:tab w:val="left" w:pos="567"/>
        </w:tabs>
        <w:rPr>
          <w:szCs w:val="22"/>
        </w:rPr>
      </w:pPr>
      <w:r>
        <w:rPr>
          <w:szCs w:val="22"/>
        </w:rPr>
        <w:t>Vyresnius kaip 2 metų vaikus tepalu reikia gydyti labai atsargiai, juo tepti vieną kartą per parą ir tik nedidelį odos plotą. Vaiko veidą tepti draudžiama.</w:t>
      </w:r>
    </w:p>
    <w:p w:rsidR="00A4279D" w:rsidRDefault="00A4279D" w:rsidP="00A4279D">
      <w:pPr>
        <w:tabs>
          <w:tab w:val="left" w:pos="567"/>
        </w:tabs>
        <w:ind w:left="567" w:hanging="567"/>
        <w:rPr>
          <w:szCs w:val="22"/>
        </w:rPr>
      </w:pPr>
    </w:p>
    <w:p w:rsidR="00A4279D" w:rsidRDefault="00A4279D" w:rsidP="00A4279D">
      <w:pPr>
        <w:pStyle w:val="PI-3EMEASMCA"/>
      </w:pPr>
      <w:r>
        <w:t>Ką daryti pavartojus per didelę LORINDEN C dozę?</w:t>
      </w:r>
    </w:p>
    <w:p w:rsidR="00A4279D" w:rsidRDefault="00A4279D" w:rsidP="00A4279D">
      <w:pPr>
        <w:tabs>
          <w:tab w:val="left" w:pos="567"/>
        </w:tabs>
        <w:rPr>
          <w:szCs w:val="22"/>
        </w:rPr>
      </w:pPr>
      <w:r>
        <w:rPr>
          <w:szCs w:val="22"/>
        </w:rPr>
        <w:t xml:space="preserve">Vaisto perdozavimo simptomai, </w:t>
      </w:r>
      <w:proofErr w:type="spellStart"/>
      <w:r>
        <w:rPr>
          <w:szCs w:val="22"/>
        </w:rPr>
        <w:t>t.y</w:t>
      </w:r>
      <w:proofErr w:type="spellEnd"/>
      <w:r>
        <w:rPr>
          <w:szCs w:val="22"/>
        </w:rPr>
        <w:t xml:space="preserve">. šalutinio poveikio pasunkėjimas (paburkimas, kraujo spaudimo padidėjimas, cukraus kiekio kraujyje padidėjimas, imuninės sistemos susilpnėjimas, sunkiais atvejais - </w:t>
      </w:r>
      <w:proofErr w:type="spellStart"/>
      <w:r>
        <w:rPr>
          <w:szCs w:val="22"/>
        </w:rPr>
        <w:t>Kušingo</w:t>
      </w:r>
      <w:proofErr w:type="spellEnd"/>
      <w:r>
        <w:rPr>
          <w:szCs w:val="22"/>
        </w:rPr>
        <w:t xml:space="preserve"> sindromas) pasireiškia, jei vaisto vartojama ilgą laiką ar neteisingai arba tepamas didelis odos plotas. Tokiu atveju būtina vaisto vartojimą nutraukti laipsniškai, arba vartoti mažesnio stiprumo </w:t>
      </w:r>
      <w:proofErr w:type="spellStart"/>
      <w:r>
        <w:rPr>
          <w:szCs w:val="22"/>
        </w:rPr>
        <w:t>gliukokortikoidų</w:t>
      </w:r>
      <w:proofErr w:type="spellEnd"/>
      <w:r>
        <w:rPr>
          <w:szCs w:val="22"/>
        </w:rPr>
        <w:t xml:space="preserve">. </w:t>
      </w:r>
    </w:p>
    <w:p w:rsidR="00A4279D" w:rsidRDefault="00A4279D" w:rsidP="00A4279D">
      <w:pPr>
        <w:tabs>
          <w:tab w:val="left" w:pos="567"/>
        </w:tabs>
        <w:rPr>
          <w:szCs w:val="22"/>
        </w:rPr>
      </w:pPr>
    </w:p>
    <w:p w:rsidR="00A4279D" w:rsidRDefault="00A4279D" w:rsidP="00A4279D">
      <w:pPr>
        <w:pStyle w:val="PI-3EMEASMCA"/>
      </w:pPr>
      <w:r>
        <w:t xml:space="preserve">Pamiršus pavartoti LORINDEN C </w:t>
      </w:r>
    </w:p>
    <w:p w:rsidR="00A4279D" w:rsidRDefault="00A4279D" w:rsidP="00A4279D">
      <w:pPr>
        <w:pStyle w:val="PI-3EMEASMCA"/>
      </w:pPr>
      <w:r>
        <w:rPr>
          <w:noProof/>
        </w:rPr>
        <w:t xml:space="preserve">Negalima vartoti dvigubos dozės norint kompensuoti praleistą dozę. </w:t>
      </w:r>
    </w:p>
    <w:p w:rsidR="00A4279D" w:rsidRDefault="00A4279D" w:rsidP="00A4279D">
      <w:pPr>
        <w:pStyle w:val="PI-3EMEASMCA"/>
      </w:pPr>
    </w:p>
    <w:p w:rsidR="00A4279D" w:rsidRDefault="00A4279D" w:rsidP="00A4279D">
      <w:pPr>
        <w:pStyle w:val="PI-3EMEASMCA"/>
      </w:pPr>
      <w:r w:rsidRPr="005D554B">
        <w:rPr>
          <w:snapToGrid w:val="0"/>
          <w:szCs w:val="28"/>
          <w:lang w:eastAsia="x-none"/>
        </w:rPr>
        <w:t>Nustojus vartoti</w:t>
      </w:r>
      <w:r>
        <w:rPr>
          <w:snapToGrid w:val="0"/>
          <w:szCs w:val="28"/>
          <w:lang w:eastAsia="x-none"/>
        </w:rPr>
        <w:t xml:space="preserve"> LORINDEN C</w:t>
      </w:r>
    </w:p>
    <w:p w:rsidR="00A4279D" w:rsidRDefault="00A4279D" w:rsidP="00A4279D">
      <w:pPr>
        <w:pStyle w:val="BTEMEASMCA"/>
        <w:rPr>
          <w:b/>
          <w:noProof w:val="0"/>
        </w:rPr>
      </w:pPr>
      <w:r>
        <w:rPr>
          <w:noProof w:val="0"/>
        </w:rPr>
        <w:t>Jeigu kiltų daugiau klausimų dėl šio vaisto vartojimo, kreipkitės į gydytoją.</w:t>
      </w:r>
    </w:p>
    <w:p w:rsidR="00A4279D" w:rsidRDefault="00A4279D" w:rsidP="00A4279D">
      <w:pPr>
        <w:pStyle w:val="PI-3EMEASMCA"/>
      </w:pPr>
    </w:p>
    <w:p w:rsidR="00A4279D" w:rsidRDefault="00A4279D" w:rsidP="00A4279D">
      <w:pPr>
        <w:pStyle w:val="PI-3EMEASMCA"/>
      </w:pPr>
    </w:p>
    <w:p w:rsidR="00A4279D" w:rsidRDefault="00A4279D" w:rsidP="00A4279D">
      <w:pPr>
        <w:pStyle w:val="PI-1EMEASMCA"/>
      </w:pPr>
      <w:bookmarkStart w:id="4" w:name="_Toc129243142"/>
      <w:bookmarkStart w:id="5" w:name="_Toc129243267"/>
      <w:r>
        <w:t>4.</w:t>
      </w:r>
      <w:r>
        <w:tab/>
      </w:r>
      <w:r>
        <w:rPr>
          <w:rFonts w:eastAsia="SimSun"/>
        </w:rPr>
        <w:t>Galimas šalutinis poveikis</w:t>
      </w:r>
      <w:r>
        <w:t xml:space="preserve"> </w:t>
      </w:r>
      <w:bookmarkEnd w:id="4"/>
      <w:bookmarkEnd w:id="5"/>
    </w:p>
    <w:p w:rsidR="00A4279D" w:rsidRDefault="00A4279D" w:rsidP="00A4279D">
      <w:pPr>
        <w:pStyle w:val="PI-1EMEASMCA"/>
      </w:pPr>
    </w:p>
    <w:p w:rsidR="00A4279D" w:rsidRDefault="00A4279D" w:rsidP="00A4279D">
      <w:pPr>
        <w:pStyle w:val="BTEMEASMCA"/>
        <w:rPr>
          <w:noProof w:val="0"/>
        </w:rPr>
      </w:pPr>
      <w:r>
        <w:rPr>
          <w:noProof w:val="0"/>
        </w:rPr>
        <w:t>Šis vaistas, kaip ir visi kiti, gali sukelti šalutinį poveikį, nors jis pasireiškia ne visiems žmonėms.</w:t>
      </w:r>
    </w:p>
    <w:p w:rsidR="00A4279D" w:rsidRDefault="00A4279D" w:rsidP="00A4279D">
      <w:pPr>
        <w:pStyle w:val="BTEMEASMCA"/>
        <w:rPr>
          <w:noProof w:val="0"/>
        </w:rPr>
      </w:pPr>
    </w:p>
    <w:p w:rsidR="00A4279D" w:rsidRDefault="00A4279D" w:rsidP="00A4279D">
      <w:pPr>
        <w:tabs>
          <w:tab w:val="left" w:pos="567"/>
        </w:tabs>
        <w:rPr>
          <w:i/>
          <w:szCs w:val="22"/>
        </w:rPr>
      </w:pPr>
      <w:r>
        <w:rPr>
          <w:i/>
          <w:szCs w:val="22"/>
        </w:rPr>
        <w:t>Nedažni šalutinio poveikio reiškiniai (gali pasireikšti rečiau kaip 1 iš 100 asmenų</w:t>
      </w:r>
      <w:r>
        <w:rPr>
          <w:rFonts w:eastAsia="SimSun"/>
          <w:i/>
          <w:szCs w:val="22"/>
          <w:lang w:eastAsia="zh-CN"/>
        </w:rPr>
        <w:t>).</w:t>
      </w:r>
    </w:p>
    <w:p w:rsidR="00A4279D" w:rsidRDefault="00A4279D" w:rsidP="00A4279D">
      <w:pPr>
        <w:tabs>
          <w:tab w:val="left" w:pos="567"/>
        </w:tabs>
        <w:rPr>
          <w:szCs w:val="22"/>
        </w:rPr>
      </w:pPr>
      <w:r>
        <w:rPr>
          <w:szCs w:val="22"/>
        </w:rPr>
        <w:t xml:space="preserve">Steroidų sukelta purpura, poodinių audinių suplonėjimas, odos sausmė, plaukuotumo padidėjimas arba plaukų slinkimas, susilpnėjęs paviršinio odos sluoksnio augimas, sumažėti arba padidėti pigmento kiekis odoje, odos suplonėjimas, </w:t>
      </w:r>
      <w:proofErr w:type="spellStart"/>
      <w:r>
        <w:rPr>
          <w:szCs w:val="22"/>
        </w:rPr>
        <w:t>strijos</w:t>
      </w:r>
      <w:proofErr w:type="spellEnd"/>
      <w:r>
        <w:rPr>
          <w:szCs w:val="22"/>
        </w:rPr>
        <w:t xml:space="preserve"> bei prasidėjusi antrinė infekcija. Kai kada gali atsirasti dilgėlinė, išbėrimas dėmėmis ir pūslėmis arba paūmėti odos pažeidimas. </w:t>
      </w:r>
    </w:p>
    <w:p w:rsidR="00A4279D" w:rsidRDefault="00A4279D" w:rsidP="00A4279D">
      <w:pPr>
        <w:tabs>
          <w:tab w:val="left" w:pos="567"/>
        </w:tabs>
        <w:rPr>
          <w:szCs w:val="22"/>
        </w:rPr>
      </w:pPr>
      <w:r>
        <w:rPr>
          <w:szCs w:val="22"/>
        </w:rPr>
        <w:t xml:space="preserve">Paburkimas, kraujo spaudimo padidėjimas. </w:t>
      </w:r>
    </w:p>
    <w:p w:rsidR="00A4279D" w:rsidRDefault="00A4279D" w:rsidP="00A4279D">
      <w:pPr>
        <w:tabs>
          <w:tab w:val="left" w:pos="567"/>
        </w:tabs>
        <w:rPr>
          <w:i/>
          <w:szCs w:val="22"/>
        </w:rPr>
      </w:pPr>
      <w:r>
        <w:rPr>
          <w:szCs w:val="22"/>
        </w:rPr>
        <w:t xml:space="preserve">Imuninės sistemos slopinimas. </w:t>
      </w:r>
    </w:p>
    <w:p w:rsidR="00A4279D" w:rsidRDefault="00A4279D" w:rsidP="00A4279D">
      <w:pPr>
        <w:tabs>
          <w:tab w:val="left" w:pos="567"/>
        </w:tabs>
        <w:rPr>
          <w:i/>
          <w:szCs w:val="22"/>
        </w:rPr>
      </w:pPr>
    </w:p>
    <w:p w:rsidR="00A4279D" w:rsidRDefault="00A4279D" w:rsidP="00A4279D">
      <w:pPr>
        <w:tabs>
          <w:tab w:val="left" w:pos="567"/>
        </w:tabs>
        <w:rPr>
          <w:i/>
          <w:szCs w:val="22"/>
        </w:rPr>
      </w:pPr>
      <w:r>
        <w:rPr>
          <w:i/>
          <w:szCs w:val="22"/>
        </w:rPr>
        <w:t>Reti šalutinio poveikio reiškiniai</w:t>
      </w:r>
      <w:r>
        <w:rPr>
          <w:szCs w:val="22"/>
        </w:rPr>
        <w:t xml:space="preserve"> </w:t>
      </w:r>
      <w:r>
        <w:rPr>
          <w:i/>
          <w:szCs w:val="22"/>
        </w:rPr>
        <w:t>(gali pasireikšti rečiau kaip 1 iš 1 000 asmenų</w:t>
      </w:r>
      <w:r>
        <w:rPr>
          <w:rFonts w:eastAsia="SimSun"/>
          <w:i/>
          <w:szCs w:val="22"/>
          <w:lang w:eastAsia="zh-CN"/>
        </w:rPr>
        <w:t>).</w:t>
      </w:r>
    </w:p>
    <w:p w:rsidR="00A4279D" w:rsidRDefault="00A4279D" w:rsidP="00A4279D">
      <w:pPr>
        <w:tabs>
          <w:tab w:val="left" w:pos="567"/>
        </w:tabs>
        <w:rPr>
          <w:szCs w:val="22"/>
        </w:rPr>
      </w:pPr>
      <w:r>
        <w:rPr>
          <w:szCs w:val="22"/>
        </w:rPr>
        <w:t>Spuogai.</w:t>
      </w:r>
    </w:p>
    <w:p w:rsidR="00A4279D" w:rsidRDefault="00A4279D" w:rsidP="00A4279D">
      <w:pPr>
        <w:tabs>
          <w:tab w:val="left" w:pos="567"/>
        </w:tabs>
        <w:rPr>
          <w:szCs w:val="22"/>
        </w:rPr>
      </w:pPr>
      <w:r>
        <w:rPr>
          <w:szCs w:val="22"/>
        </w:rPr>
        <w:lastRenderedPageBreak/>
        <w:t>Patepus akių vokus, gali pasireikšti glaukoma arba katarakta.</w:t>
      </w:r>
    </w:p>
    <w:p w:rsidR="00A4279D" w:rsidRDefault="00A4279D" w:rsidP="00A4279D">
      <w:pPr>
        <w:tabs>
          <w:tab w:val="left" w:pos="567"/>
        </w:tabs>
        <w:rPr>
          <w:szCs w:val="22"/>
        </w:rPr>
      </w:pPr>
    </w:p>
    <w:p w:rsidR="00A4279D" w:rsidRDefault="00A4279D" w:rsidP="00A4279D">
      <w:pPr>
        <w:tabs>
          <w:tab w:val="left" w:pos="567"/>
        </w:tabs>
        <w:rPr>
          <w:rFonts w:eastAsia="SimSun"/>
          <w:i/>
          <w:lang w:eastAsia="zh-CN"/>
        </w:rPr>
      </w:pPr>
      <w:r>
        <w:rPr>
          <w:i/>
          <w:szCs w:val="22"/>
        </w:rPr>
        <w:t xml:space="preserve">Šalutinio poveikio reiškiniai, kurių dažnis nežinomas </w:t>
      </w:r>
      <w:r>
        <w:rPr>
          <w:rFonts w:eastAsia="SimSun"/>
          <w:i/>
          <w:lang w:eastAsia="zh-CN"/>
        </w:rPr>
        <w:t>(negali būti apskaičiuotas pagal turimus duomenis)</w:t>
      </w:r>
    </w:p>
    <w:p w:rsidR="00A4279D" w:rsidRDefault="00A4279D" w:rsidP="00A4279D">
      <w:pPr>
        <w:tabs>
          <w:tab w:val="left" w:pos="567"/>
        </w:tabs>
        <w:rPr>
          <w:b/>
          <w:bCs/>
          <w:szCs w:val="22"/>
        </w:rPr>
      </w:pPr>
      <w:r>
        <w:rPr>
          <w:szCs w:val="22"/>
        </w:rPr>
        <w:t xml:space="preserve">Plauko maišelio uždegimas, apyburnio dermatitas, odos kraujagyslių išsiplėtimas, </w:t>
      </w:r>
      <w:proofErr w:type="spellStart"/>
      <w:r>
        <w:rPr>
          <w:szCs w:val="22"/>
        </w:rPr>
        <w:t>Kušingo</w:t>
      </w:r>
      <w:proofErr w:type="spellEnd"/>
      <w:r>
        <w:rPr>
          <w:szCs w:val="22"/>
        </w:rPr>
        <w:t xml:space="preserve"> sindromas (antinksčių hormono perteklius), endokrininiai sutrikimai, padidėjusi gliukozės koncentracija kraujyje arba šlapime, toksinis poveikis nervų sistemai, augimo sulėtėjimas. Jei tepalo vartojama po orui nepralaidžiu tvarsčiu, dėl padidėjusios absorbcijos galimas stiprus sisteminis poveikis</w:t>
      </w:r>
      <w:r>
        <w:rPr>
          <w:b/>
          <w:bCs/>
          <w:szCs w:val="22"/>
        </w:rPr>
        <w:t>.</w:t>
      </w:r>
    </w:p>
    <w:p w:rsidR="00A4279D" w:rsidRDefault="00A4279D" w:rsidP="00A4279D">
      <w:pPr>
        <w:tabs>
          <w:tab w:val="left" w:pos="0"/>
          <w:tab w:val="left" w:pos="567"/>
        </w:tabs>
        <w:rPr>
          <w:szCs w:val="22"/>
        </w:rPr>
      </w:pPr>
      <w:r>
        <w:rPr>
          <w:szCs w:val="22"/>
        </w:rPr>
        <w:t>Miglotas matymas.</w:t>
      </w:r>
    </w:p>
    <w:p w:rsidR="00A4279D" w:rsidRDefault="00A4279D" w:rsidP="00A4279D">
      <w:pPr>
        <w:tabs>
          <w:tab w:val="left" w:pos="0"/>
          <w:tab w:val="left" w:pos="567"/>
        </w:tabs>
        <w:rPr>
          <w:szCs w:val="22"/>
        </w:rPr>
      </w:pPr>
    </w:p>
    <w:p w:rsidR="00A4279D" w:rsidRDefault="00A4279D" w:rsidP="00A4279D">
      <w:pPr>
        <w:tabs>
          <w:tab w:val="left" w:pos="567"/>
        </w:tabs>
        <w:rPr>
          <w:b/>
          <w:snapToGrid w:val="0"/>
          <w:szCs w:val="24"/>
          <w:lang w:eastAsia="en-US"/>
        </w:rPr>
      </w:pPr>
      <w:r>
        <w:rPr>
          <w:b/>
          <w:noProof/>
          <w:snapToGrid w:val="0"/>
          <w:szCs w:val="24"/>
          <w:lang w:eastAsia="en-US"/>
        </w:rPr>
        <w:t>Pranešimas apie šalutinį poveikį</w:t>
      </w:r>
    </w:p>
    <w:p w:rsidR="00A4279D" w:rsidRDefault="00A4279D" w:rsidP="00A4279D">
      <w:pPr>
        <w:tabs>
          <w:tab w:val="left" w:pos="567"/>
        </w:tabs>
        <w:spacing w:line="260" w:lineRule="exact"/>
        <w:ind w:right="-449"/>
        <w:rPr>
          <w:noProof/>
          <w:snapToGrid w:val="0"/>
          <w:szCs w:val="24"/>
          <w:lang w:eastAsia="en-US"/>
        </w:rPr>
      </w:pPr>
      <w:r w:rsidRPr="00100DEA">
        <w:rPr>
          <w:snapToGrid w:val="0"/>
          <w:lang w:eastAsia="en-US"/>
        </w:rPr>
        <w:t xml:space="preserve">Jeigu pasireiškė šalutinis poveikis, įskaitant šiame lapelyje nenurodytą, pasakykite gydytojui arba vaistininkui. </w:t>
      </w:r>
      <w:r w:rsidRPr="00100DEA">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00DEA">
          <w:rPr>
            <w:snapToGrid w:val="0"/>
            <w:color w:val="0000FF"/>
            <w:u w:val="single"/>
          </w:rPr>
          <w:t>https://vapris.vvkt.lt/vvkt-web/public/nrv</w:t>
        </w:r>
      </w:hyperlink>
      <w:r w:rsidRPr="00100DEA">
        <w:rPr>
          <w:snapToGrid w:val="0"/>
        </w:rPr>
        <w:t xml:space="preserve"> arba užpildant Paciento pranešimo apie įtariamą nepageidaujamą reakciją (ĮNR) formą, kuri skelbiama </w:t>
      </w:r>
      <w:hyperlink r:id="rId6" w:history="1">
        <w:r w:rsidRPr="00100DEA">
          <w:rPr>
            <w:snapToGrid w:val="0"/>
            <w:color w:val="0000FF"/>
            <w:u w:val="single"/>
          </w:rPr>
          <w:t>https://www.vvkt.lt/index.php?4004286486</w:t>
        </w:r>
      </w:hyperlink>
      <w:r w:rsidRPr="00100DEA">
        <w:rPr>
          <w:snapToGrid w:val="0"/>
        </w:rPr>
        <w:t xml:space="preserve">, ir atsiunčiant elektroniniu paštu (adresu </w:t>
      </w:r>
      <w:hyperlink r:id="rId7" w:history="1">
        <w:r w:rsidRPr="00100DEA">
          <w:rPr>
            <w:snapToGrid w:val="0"/>
            <w:color w:val="0000FF"/>
            <w:u w:val="single"/>
          </w:rPr>
          <w:t>NepageidaujamaR@vvkt.lt</w:t>
        </w:r>
      </w:hyperlink>
      <w:r w:rsidRPr="00100DEA">
        <w:rPr>
          <w:snapToGrid w:val="0"/>
        </w:rPr>
        <w:t xml:space="preserve">) arba nemokamu telefonu 8 800 73 568. </w:t>
      </w:r>
      <w:r w:rsidRPr="00100DEA">
        <w:rPr>
          <w:snapToGrid w:val="0"/>
          <w:lang w:eastAsia="en-US"/>
        </w:rPr>
        <w:t>Pranešdami apie šalutinį poveikį galite</w:t>
      </w:r>
      <w:r>
        <w:rPr>
          <w:snapToGrid w:val="0"/>
          <w:lang w:eastAsia="en-US"/>
        </w:rPr>
        <w:t xml:space="preserve"> mums padėti gauti daugiau informacijos apie šio vaisto saugumą.</w:t>
      </w:r>
    </w:p>
    <w:p w:rsidR="00A4279D" w:rsidRDefault="00A4279D" w:rsidP="00A4279D">
      <w:pPr>
        <w:tabs>
          <w:tab w:val="left" w:pos="567"/>
        </w:tabs>
        <w:rPr>
          <w:szCs w:val="22"/>
        </w:rPr>
      </w:pPr>
    </w:p>
    <w:p w:rsidR="00A4279D" w:rsidRDefault="00A4279D" w:rsidP="00A4279D">
      <w:pPr>
        <w:tabs>
          <w:tab w:val="left" w:pos="567"/>
        </w:tabs>
        <w:rPr>
          <w:szCs w:val="22"/>
        </w:rPr>
      </w:pPr>
    </w:p>
    <w:p w:rsidR="00A4279D" w:rsidRDefault="00A4279D" w:rsidP="00A4279D">
      <w:pPr>
        <w:pStyle w:val="PI-1EMEASMCA"/>
      </w:pPr>
      <w:bookmarkStart w:id="6" w:name="_Toc129243143"/>
      <w:bookmarkStart w:id="7" w:name="_Toc129243268"/>
      <w:r>
        <w:t>5.</w:t>
      </w:r>
      <w:r>
        <w:tab/>
      </w:r>
      <w:r>
        <w:rPr>
          <w:rFonts w:eastAsia="SimSun"/>
        </w:rPr>
        <w:t>Kaip laikyti LORINDEN C</w:t>
      </w:r>
      <w:bookmarkEnd w:id="6"/>
      <w:bookmarkEnd w:id="7"/>
    </w:p>
    <w:p w:rsidR="00A4279D" w:rsidRDefault="00A4279D" w:rsidP="00A4279D">
      <w:pPr>
        <w:pStyle w:val="Pagrindinistekstas"/>
        <w:spacing w:after="0"/>
      </w:pPr>
    </w:p>
    <w:p w:rsidR="00A4279D" w:rsidRDefault="00A4279D" w:rsidP="00A4279D">
      <w:pPr>
        <w:pStyle w:val="Pagrindinistekstas"/>
        <w:widowControl w:val="0"/>
        <w:spacing w:after="0"/>
      </w:pPr>
      <w:r>
        <w:t>Šį vaistą laikykite vaikams nepastebimoje ir nepasiekiamoje vietoje.</w:t>
      </w:r>
    </w:p>
    <w:p w:rsidR="00A4279D" w:rsidRDefault="00A4279D" w:rsidP="00A4279D">
      <w:pPr>
        <w:pStyle w:val="Pagrindinistekstas"/>
        <w:widowControl w:val="0"/>
        <w:spacing w:after="0"/>
      </w:pPr>
      <w:r>
        <w:t>Laikyti ne aukštesnėje kaip 25 </w:t>
      </w:r>
      <w:r>
        <w:sym w:font="Symbol" w:char="F0B0"/>
      </w:r>
      <w:r>
        <w:t xml:space="preserve">C temperatūroje. </w:t>
      </w:r>
    </w:p>
    <w:p w:rsidR="00A4279D" w:rsidRDefault="00A4279D" w:rsidP="00A4279D">
      <w:pPr>
        <w:pStyle w:val="Pagrindinistekstas"/>
        <w:spacing w:after="0"/>
      </w:pPr>
      <w:r>
        <w:t>Pirmą kartą atidarius tūbelę, tepalo tinkamumo laikas - 30 dienų.</w:t>
      </w:r>
    </w:p>
    <w:p w:rsidR="00A4279D" w:rsidRDefault="00A4279D" w:rsidP="00A4279D">
      <w:pPr>
        <w:pStyle w:val="Antrat2"/>
        <w:keepNext w:val="0"/>
        <w:widowControl w:val="0"/>
        <w:rPr>
          <w:b w:val="0"/>
          <w:bCs/>
        </w:rPr>
      </w:pPr>
    </w:p>
    <w:p w:rsidR="00A4279D" w:rsidRDefault="00A4279D" w:rsidP="00A4279D">
      <w:pPr>
        <w:pStyle w:val="BTEMEASMCA"/>
        <w:rPr>
          <w:noProof w:val="0"/>
        </w:rPr>
      </w:pPr>
      <w:r>
        <w:rPr>
          <w:bCs/>
        </w:rPr>
        <w:t xml:space="preserve">Ant kartono dėžutės ir tūbelės po „EXP“ nurodytam tinkamumo laikui pasibaigus, </w:t>
      </w:r>
      <w:r>
        <w:t>šio vaisto</w:t>
      </w:r>
      <w:r>
        <w:rPr>
          <w:bCs/>
        </w:rPr>
        <w:t xml:space="preserve"> vartoti negalima.</w:t>
      </w:r>
      <w:r>
        <w:t xml:space="preserve"> </w:t>
      </w:r>
      <w:r>
        <w:rPr>
          <w:noProof w:val="0"/>
        </w:rPr>
        <w:t>Vaistas tinkamas vartoti iki paskutinės nurodyto mėnesio dienos.</w:t>
      </w:r>
    </w:p>
    <w:p w:rsidR="00A4279D" w:rsidRDefault="00A4279D" w:rsidP="00A4279D">
      <w:pPr>
        <w:pStyle w:val="BTEMEASMCA"/>
        <w:rPr>
          <w:noProof w:val="0"/>
        </w:rPr>
      </w:pPr>
    </w:p>
    <w:p w:rsidR="00A4279D" w:rsidRDefault="00A4279D" w:rsidP="00A4279D">
      <w:pPr>
        <w:pStyle w:val="BTEMEASMCA"/>
        <w:rPr>
          <w:noProof w:val="0"/>
        </w:rPr>
      </w:pPr>
      <w:r>
        <w:rPr>
          <w:noProof w:val="0"/>
        </w:rPr>
        <w:t>Vaistų negalima išmesti į kanalizaciją arba su buitinėmis atliekomis. Kaip išmesti nereikalingus vaistus, klauskite vaistininko. Šios priemonės padės apsaugoti aplinką.</w:t>
      </w:r>
    </w:p>
    <w:p w:rsidR="00A4279D" w:rsidRDefault="00A4279D" w:rsidP="00A4279D">
      <w:pPr>
        <w:pStyle w:val="Antrat2"/>
        <w:keepNext w:val="0"/>
        <w:widowControl w:val="0"/>
        <w:rPr>
          <w:b w:val="0"/>
          <w:bCs/>
        </w:rPr>
      </w:pPr>
    </w:p>
    <w:p w:rsidR="00A4279D" w:rsidRDefault="00A4279D" w:rsidP="00A4279D">
      <w:pPr>
        <w:widowControl w:val="0"/>
      </w:pPr>
    </w:p>
    <w:p w:rsidR="00A4279D" w:rsidRDefault="00A4279D" w:rsidP="00A4279D">
      <w:pPr>
        <w:numPr>
          <w:ilvl w:val="12"/>
          <w:numId w:val="0"/>
        </w:numPr>
        <w:tabs>
          <w:tab w:val="left" w:pos="567"/>
        </w:tabs>
        <w:ind w:right="-2"/>
        <w:rPr>
          <w:b/>
          <w:noProof/>
        </w:rPr>
      </w:pPr>
      <w:r>
        <w:rPr>
          <w:b/>
          <w:noProof/>
        </w:rPr>
        <w:t>6.</w:t>
      </w:r>
      <w:r>
        <w:tab/>
      </w:r>
      <w:r>
        <w:rPr>
          <w:b/>
          <w:noProof/>
        </w:rPr>
        <w:t>Pakuotės turinys ir kita informacija</w:t>
      </w:r>
    </w:p>
    <w:p w:rsidR="00A4279D" w:rsidRDefault="00A4279D" w:rsidP="00A4279D"/>
    <w:p w:rsidR="00A4279D" w:rsidRDefault="00A4279D" w:rsidP="00A4279D">
      <w:pPr>
        <w:pStyle w:val="PI-3EMEASMCA"/>
      </w:pPr>
      <w:r>
        <w:t>LORINDEN C sudėtis</w:t>
      </w:r>
    </w:p>
    <w:p w:rsidR="00A4279D" w:rsidRDefault="00A4279D" w:rsidP="00A4279D">
      <w:pPr>
        <w:pStyle w:val="Pagrindinistekstas"/>
        <w:numPr>
          <w:ilvl w:val="0"/>
          <w:numId w:val="2"/>
        </w:numPr>
        <w:spacing w:after="0"/>
        <w:rPr>
          <w:szCs w:val="22"/>
        </w:rPr>
      </w:pPr>
      <w:r>
        <w:t xml:space="preserve">Veikliosios medžiagos yra </w:t>
      </w:r>
      <w:proofErr w:type="spellStart"/>
      <w:r>
        <w:t>f</w:t>
      </w:r>
      <w:r>
        <w:rPr>
          <w:szCs w:val="22"/>
        </w:rPr>
        <w:t>lumetazono</w:t>
      </w:r>
      <w:proofErr w:type="spellEnd"/>
      <w:r>
        <w:rPr>
          <w:szCs w:val="22"/>
        </w:rPr>
        <w:t xml:space="preserve"> </w:t>
      </w:r>
      <w:proofErr w:type="spellStart"/>
      <w:r>
        <w:rPr>
          <w:szCs w:val="22"/>
        </w:rPr>
        <w:t>pivalatas</w:t>
      </w:r>
      <w:proofErr w:type="spellEnd"/>
      <w:r>
        <w:rPr>
          <w:szCs w:val="22"/>
        </w:rPr>
        <w:t xml:space="preserve"> ir </w:t>
      </w:r>
      <w:proofErr w:type="spellStart"/>
      <w:r>
        <w:rPr>
          <w:szCs w:val="22"/>
        </w:rPr>
        <w:t>kliokvinolis</w:t>
      </w:r>
      <w:proofErr w:type="spellEnd"/>
      <w:r>
        <w:rPr>
          <w:szCs w:val="22"/>
        </w:rPr>
        <w:t xml:space="preserve">. 1 g tepalo yra 0,2 mg </w:t>
      </w:r>
      <w:proofErr w:type="spellStart"/>
      <w:r>
        <w:rPr>
          <w:szCs w:val="22"/>
        </w:rPr>
        <w:t>flumetazono</w:t>
      </w:r>
      <w:proofErr w:type="spellEnd"/>
      <w:r>
        <w:rPr>
          <w:szCs w:val="22"/>
        </w:rPr>
        <w:t xml:space="preserve"> </w:t>
      </w:r>
      <w:proofErr w:type="spellStart"/>
      <w:r>
        <w:rPr>
          <w:szCs w:val="22"/>
        </w:rPr>
        <w:t>pivalato</w:t>
      </w:r>
      <w:proofErr w:type="spellEnd"/>
      <w:r>
        <w:rPr>
          <w:szCs w:val="22"/>
        </w:rPr>
        <w:t xml:space="preserve"> ir 30 mg </w:t>
      </w:r>
      <w:proofErr w:type="spellStart"/>
      <w:r>
        <w:rPr>
          <w:szCs w:val="22"/>
        </w:rPr>
        <w:t>kliokvinolio</w:t>
      </w:r>
      <w:proofErr w:type="spellEnd"/>
      <w:r>
        <w:rPr>
          <w:szCs w:val="22"/>
        </w:rPr>
        <w:t xml:space="preserve">. </w:t>
      </w:r>
    </w:p>
    <w:p w:rsidR="00A4279D" w:rsidRDefault="00A4279D" w:rsidP="00A4279D">
      <w:pPr>
        <w:pStyle w:val="BT-EMEASMCA"/>
        <w:numPr>
          <w:ilvl w:val="0"/>
          <w:numId w:val="2"/>
        </w:numPr>
      </w:pPr>
      <w:r>
        <w:t>Pagalbinės medžiagos yra baltasis vaškas ir minkštasis baltas parafinas.</w:t>
      </w:r>
    </w:p>
    <w:p w:rsidR="00A4279D" w:rsidRDefault="00A4279D" w:rsidP="00A4279D">
      <w:pPr>
        <w:pStyle w:val="BTEMEASMCA"/>
        <w:rPr>
          <w:noProof w:val="0"/>
        </w:rPr>
      </w:pPr>
    </w:p>
    <w:p w:rsidR="00A4279D" w:rsidRDefault="00A4279D" w:rsidP="00A4279D">
      <w:pPr>
        <w:pStyle w:val="PI-3EMEASMCA"/>
      </w:pPr>
      <w:r>
        <w:t>LORINDEN C išvaizda ir kiekis pakuotėje</w:t>
      </w:r>
    </w:p>
    <w:p w:rsidR="00A4279D" w:rsidRDefault="00A4279D" w:rsidP="00A4279D">
      <w:pPr>
        <w:tabs>
          <w:tab w:val="left" w:pos="567"/>
        </w:tabs>
        <w:rPr>
          <w:szCs w:val="22"/>
        </w:rPr>
      </w:pPr>
      <w:r>
        <w:rPr>
          <w:szCs w:val="22"/>
        </w:rPr>
        <w:t>LORINDEN C tepalas yra baltos su gelsvu ar pilku atspalviu spalvos, tiekiamas 15 g aliuminio tūbelėje.</w:t>
      </w:r>
    </w:p>
    <w:p w:rsidR="00A4279D" w:rsidRDefault="00A4279D" w:rsidP="00A4279D">
      <w:pPr>
        <w:pStyle w:val="PI-3EMEASMCA"/>
      </w:pPr>
    </w:p>
    <w:p w:rsidR="00A4279D" w:rsidRDefault="00A4279D" w:rsidP="00A4279D">
      <w:pPr>
        <w:pStyle w:val="PI-3EMEASMCA"/>
      </w:pPr>
      <w:r>
        <w:t>Registruotojas</w:t>
      </w:r>
    </w:p>
    <w:p w:rsidR="00A4279D" w:rsidRDefault="00A4279D" w:rsidP="00A4279D">
      <w:pPr>
        <w:rPr>
          <w:szCs w:val="22"/>
        </w:rPr>
      </w:pPr>
      <w:proofErr w:type="spellStart"/>
      <w:r>
        <w:rPr>
          <w:szCs w:val="22"/>
        </w:rPr>
        <w:t>PharmaSwiss</w:t>
      </w:r>
      <w:proofErr w:type="spellEnd"/>
      <w:r>
        <w:rPr>
          <w:szCs w:val="22"/>
        </w:rPr>
        <w:t xml:space="preserve"> </w:t>
      </w:r>
      <w:proofErr w:type="spellStart"/>
      <w:r>
        <w:rPr>
          <w:szCs w:val="22"/>
        </w:rPr>
        <w:t>Česká</w:t>
      </w:r>
      <w:proofErr w:type="spellEnd"/>
      <w:r>
        <w:rPr>
          <w:szCs w:val="22"/>
        </w:rPr>
        <w:t xml:space="preserve"> </w:t>
      </w:r>
      <w:proofErr w:type="spellStart"/>
      <w:r>
        <w:rPr>
          <w:szCs w:val="22"/>
        </w:rPr>
        <w:t>republika</w:t>
      </w:r>
      <w:proofErr w:type="spellEnd"/>
      <w:r>
        <w:rPr>
          <w:szCs w:val="22"/>
        </w:rPr>
        <w:t xml:space="preserve"> </w:t>
      </w:r>
      <w:proofErr w:type="spellStart"/>
      <w:r>
        <w:rPr>
          <w:szCs w:val="22"/>
        </w:rPr>
        <w:t>s.r.o</w:t>
      </w:r>
      <w:proofErr w:type="spellEnd"/>
      <w:r>
        <w:rPr>
          <w:szCs w:val="22"/>
        </w:rPr>
        <w:t xml:space="preserve">. </w:t>
      </w:r>
    </w:p>
    <w:p w:rsidR="00A4279D" w:rsidRDefault="00A4279D" w:rsidP="00A4279D">
      <w:pPr>
        <w:rPr>
          <w:szCs w:val="22"/>
        </w:rPr>
      </w:pPr>
      <w:proofErr w:type="spellStart"/>
      <w:r>
        <w:rPr>
          <w:szCs w:val="22"/>
        </w:rPr>
        <w:t>Jankovcova</w:t>
      </w:r>
      <w:proofErr w:type="spellEnd"/>
      <w:r>
        <w:rPr>
          <w:szCs w:val="22"/>
        </w:rPr>
        <w:t xml:space="preserve"> 1569/2c </w:t>
      </w:r>
    </w:p>
    <w:p w:rsidR="00A4279D" w:rsidRDefault="00A4279D" w:rsidP="00A4279D">
      <w:pPr>
        <w:rPr>
          <w:szCs w:val="22"/>
        </w:rPr>
      </w:pPr>
      <w:r>
        <w:rPr>
          <w:szCs w:val="22"/>
        </w:rPr>
        <w:t xml:space="preserve">170 00 </w:t>
      </w:r>
      <w:proofErr w:type="spellStart"/>
      <w:r>
        <w:rPr>
          <w:szCs w:val="22"/>
        </w:rPr>
        <w:t>Prague</w:t>
      </w:r>
      <w:proofErr w:type="spellEnd"/>
      <w:r>
        <w:rPr>
          <w:szCs w:val="22"/>
        </w:rPr>
        <w:t xml:space="preserve"> 7 </w:t>
      </w:r>
    </w:p>
    <w:p w:rsidR="00A4279D" w:rsidRPr="00851840" w:rsidRDefault="00A4279D" w:rsidP="00A4279D">
      <w:pPr>
        <w:pStyle w:val="PI-3EMEASMCA"/>
      </w:pPr>
      <w:r w:rsidRPr="00851840">
        <w:t>Čekija</w:t>
      </w:r>
    </w:p>
    <w:p w:rsidR="00A4279D" w:rsidRDefault="00A4279D" w:rsidP="00A4279D">
      <w:pPr>
        <w:pStyle w:val="PI-3EMEASMCA"/>
      </w:pPr>
    </w:p>
    <w:p w:rsidR="00A4279D" w:rsidRDefault="00A4279D" w:rsidP="00A4279D">
      <w:pPr>
        <w:pStyle w:val="PI-3EMEASMCA"/>
      </w:pPr>
      <w:r>
        <w:t>Gamintojas</w:t>
      </w:r>
    </w:p>
    <w:p w:rsidR="00A4279D" w:rsidRDefault="00A4279D" w:rsidP="00A4279D">
      <w:pPr>
        <w:ind w:left="709" w:hanging="709"/>
        <w:jc w:val="both"/>
        <w:rPr>
          <w:szCs w:val="22"/>
        </w:rPr>
      </w:pPr>
      <w:proofErr w:type="spellStart"/>
      <w:r>
        <w:rPr>
          <w:szCs w:val="22"/>
        </w:rPr>
        <w:t>Pharmaceutical</w:t>
      </w:r>
      <w:proofErr w:type="spellEnd"/>
      <w:r>
        <w:rPr>
          <w:szCs w:val="22"/>
        </w:rPr>
        <w:t xml:space="preserve"> Works JELFA SA</w:t>
      </w:r>
    </w:p>
    <w:p w:rsidR="00A4279D" w:rsidRDefault="00A4279D" w:rsidP="00A4279D">
      <w:pPr>
        <w:ind w:left="709" w:hanging="709"/>
        <w:jc w:val="both"/>
        <w:rPr>
          <w:szCs w:val="22"/>
        </w:rPr>
      </w:pPr>
      <w:r>
        <w:rPr>
          <w:szCs w:val="22"/>
        </w:rPr>
        <w:t xml:space="preserve">58-500 </w:t>
      </w:r>
      <w:proofErr w:type="spellStart"/>
      <w:r>
        <w:rPr>
          <w:szCs w:val="22"/>
        </w:rPr>
        <w:t>Jelenia</w:t>
      </w:r>
      <w:proofErr w:type="spellEnd"/>
      <w:r>
        <w:rPr>
          <w:szCs w:val="22"/>
        </w:rPr>
        <w:t xml:space="preserve"> </w:t>
      </w:r>
      <w:proofErr w:type="spellStart"/>
      <w:r>
        <w:rPr>
          <w:szCs w:val="22"/>
        </w:rPr>
        <w:t>Góra</w:t>
      </w:r>
      <w:proofErr w:type="spellEnd"/>
    </w:p>
    <w:p w:rsidR="00A4279D" w:rsidRDefault="00A4279D" w:rsidP="00A4279D">
      <w:pPr>
        <w:ind w:left="709" w:hanging="709"/>
        <w:jc w:val="both"/>
        <w:rPr>
          <w:szCs w:val="22"/>
        </w:rPr>
      </w:pPr>
      <w:proofErr w:type="spellStart"/>
      <w:r>
        <w:rPr>
          <w:szCs w:val="22"/>
        </w:rPr>
        <w:t>ul</w:t>
      </w:r>
      <w:proofErr w:type="spellEnd"/>
      <w:r>
        <w:rPr>
          <w:szCs w:val="22"/>
        </w:rPr>
        <w:t xml:space="preserve">. </w:t>
      </w:r>
      <w:proofErr w:type="spellStart"/>
      <w:r>
        <w:rPr>
          <w:szCs w:val="22"/>
        </w:rPr>
        <w:t>Wincentego</w:t>
      </w:r>
      <w:proofErr w:type="spellEnd"/>
      <w:r>
        <w:rPr>
          <w:szCs w:val="22"/>
        </w:rPr>
        <w:t xml:space="preserve"> </w:t>
      </w:r>
      <w:proofErr w:type="spellStart"/>
      <w:r>
        <w:rPr>
          <w:szCs w:val="22"/>
        </w:rPr>
        <w:t>Pola</w:t>
      </w:r>
      <w:proofErr w:type="spellEnd"/>
      <w:r>
        <w:rPr>
          <w:szCs w:val="22"/>
        </w:rPr>
        <w:t xml:space="preserve"> 21</w:t>
      </w:r>
    </w:p>
    <w:p w:rsidR="00A4279D" w:rsidRDefault="00A4279D" w:rsidP="00A4279D">
      <w:pPr>
        <w:pStyle w:val="Pagrindinistekstas"/>
        <w:spacing w:after="0"/>
        <w:rPr>
          <w:szCs w:val="22"/>
        </w:rPr>
      </w:pPr>
      <w:r>
        <w:rPr>
          <w:szCs w:val="22"/>
        </w:rPr>
        <w:t>Lenkija</w:t>
      </w:r>
    </w:p>
    <w:p w:rsidR="00A4279D" w:rsidRDefault="00A4279D" w:rsidP="00A4279D">
      <w:pPr>
        <w:pStyle w:val="BTEMEASMCA"/>
        <w:rPr>
          <w:noProof w:val="0"/>
        </w:rPr>
      </w:pPr>
      <w:r>
        <w:rPr>
          <w:noProof w:val="0"/>
        </w:rPr>
        <w:t>Tel. +48 75 64 33 240</w:t>
      </w:r>
    </w:p>
    <w:p w:rsidR="00A4279D" w:rsidRDefault="00A4279D" w:rsidP="00A4279D">
      <w:pPr>
        <w:pStyle w:val="BTEMEASMCA"/>
        <w:rPr>
          <w:noProof w:val="0"/>
        </w:rPr>
      </w:pPr>
      <w:r>
        <w:rPr>
          <w:noProof w:val="0"/>
        </w:rPr>
        <w:t>Faksas +48 75 75 24 455</w:t>
      </w:r>
    </w:p>
    <w:p w:rsidR="00A4279D" w:rsidRDefault="00A4279D" w:rsidP="00A4279D">
      <w:pPr>
        <w:pStyle w:val="BTEMEASMCA"/>
        <w:rPr>
          <w:noProof w:val="0"/>
          <w:lang w:val="pt-BR"/>
        </w:rPr>
      </w:pPr>
      <w:r>
        <w:rPr>
          <w:noProof w:val="0"/>
        </w:rPr>
        <w:lastRenderedPageBreak/>
        <w:t xml:space="preserve">El. paštas </w:t>
      </w:r>
      <w:proofErr w:type="spellStart"/>
      <w:r>
        <w:rPr>
          <w:noProof w:val="0"/>
        </w:rPr>
        <w:t>jelfa</w:t>
      </w:r>
      <w:proofErr w:type="spellEnd"/>
      <w:r>
        <w:rPr>
          <w:noProof w:val="0"/>
          <w:lang w:val="pt-BR"/>
        </w:rPr>
        <w:t>@jelfa.com.pl</w:t>
      </w:r>
    </w:p>
    <w:p w:rsidR="00A4279D" w:rsidRDefault="00A4279D" w:rsidP="00A4279D">
      <w:pPr>
        <w:pStyle w:val="BTEMEASMCA"/>
        <w:rPr>
          <w:noProof w:val="0"/>
        </w:rPr>
      </w:pPr>
    </w:p>
    <w:p w:rsidR="00A4279D" w:rsidRDefault="00A4279D" w:rsidP="00A4279D">
      <w:pPr>
        <w:pStyle w:val="BTbEMEASMCA"/>
      </w:pPr>
      <w:r>
        <w:rPr>
          <w:bCs/>
        </w:rPr>
        <w:t>Šis pakuotės lapelis</w:t>
      </w:r>
      <w:r>
        <w:t xml:space="preserve"> paskutinį kartą peržiūrėtas 2022-12-02.</w:t>
      </w:r>
    </w:p>
    <w:p w:rsidR="00A4279D" w:rsidRDefault="00A4279D" w:rsidP="00A4279D"/>
    <w:p w:rsidR="00A4279D" w:rsidRDefault="00A4279D" w:rsidP="00A4279D">
      <w:pPr>
        <w:numPr>
          <w:ilvl w:val="12"/>
          <w:numId w:val="0"/>
        </w:numPr>
        <w:tabs>
          <w:tab w:val="left" w:pos="567"/>
        </w:tabs>
        <w:ind w:right="-2"/>
        <w:rPr>
          <w:snapToGrid w:val="0"/>
          <w:szCs w:val="24"/>
          <w:lang w:eastAsia="en-US"/>
        </w:rPr>
      </w:pPr>
      <w:r>
        <w:rPr>
          <w:snapToGrid w:val="0"/>
          <w:lang w:eastAsia="en-US"/>
        </w:rPr>
        <w:t xml:space="preserve">Išsami informacija apie šį </w:t>
      </w:r>
      <w:r>
        <w:rPr>
          <w:snapToGrid w:val="0"/>
          <w:szCs w:val="24"/>
          <w:lang w:eastAsia="en-US"/>
        </w:rPr>
        <w:t>vaistą</w:t>
      </w:r>
      <w:r>
        <w:rPr>
          <w:snapToGrid w:val="0"/>
          <w:lang w:eastAsia="en-US"/>
        </w:rPr>
        <w:t xml:space="preserve"> pateikiama Valstybinės vaistų kontrolės tarnybos prie Lietuvos Respublikos sveikatos apsaugos ministerijos tinklalapyje</w:t>
      </w:r>
      <w:r>
        <w:rPr>
          <w:i/>
          <w:snapToGrid w:val="0"/>
          <w:szCs w:val="24"/>
          <w:lang w:eastAsia="en-US"/>
        </w:rPr>
        <w:t xml:space="preserve"> </w:t>
      </w:r>
      <w:hyperlink r:id="rId8" w:history="1">
        <w:r>
          <w:rPr>
            <w:rStyle w:val="Hipersaitas"/>
            <w:rFonts w:eastAsia="SimSun"/>
            <w:snapToGrid w:val="0"/>
            <w:color w:val="0000FF"/>
            <w:lang w:eastAsia="en-US"/>
          </w:rPr>
          <w:t>http://www.vvkt.lt/</w:t>
        </w:r>
      </w:hyperlink>
      <w:r>
        <w:rPr>
          <w:snapToGrid w:val="0"/>
          <w:lang w:eastAsia="en-US"/>
        </w:rPr>
        <w:t>.</w:t>
      </w:r>
    </w:p>
    <w:bookmarkEnd w:id="0"/>
    <w:bookmarkEnd w:id="1"/>
    <w:p w:rsidR="00A4279D" w:rsidRDefault="00A4279D" w:rsidP="00A4279D"/>
    <w:p w:rsidR="009041DB" w:rsidRDefault="009041DB">
      <w:bookmarkStart w:id="8" w:name="_GoBack"/>
      <w:bookmarkEnd w:id="8"/>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A7D23"/>
    <w:multiLevelType w:val="hybridMultilevel"/>
    <w:tmpl w:val="63762C64"/>
    <w:lvl w:ilvl="0" w:tplc="3BEAE904">
      <w:start w:val="4"/>
      <w:numFmt w:val="bullet"/>
      <w:lvlText w:val="-"/>
      <w:lvlJc w:val="left"/>
      <w:pPr>
        <w:tabs>
          <w:tab w:val="num" w:pos="737"/>
        </w:tabs>
        <w:ind w:left="73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665B53"/>
    <w:multiLevelType w:val="hybridMultilevel"/>
    <w:tmpl w:val="92D0E0B4"/>
    <w:lvl w:ilvl="0" w:tplc="DAB4C2E8">
      <w:start w:val="4"/>
      <w:numFmt w:val="bullet"/>
      <w:lvlText w:val="-"/>
      <w:lvlJc w:val="left"/>
      <w:pPr>
        <w:tabs>
          <w:tab w:val="num" w:pos="737"/>
        </w:tabs>
        <w:ind w:left="73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9D"/>
    <w:rsid w:val="00234094"/>
    <w:rsid w:val="002A211A"/>
    <w:rsid w:val="00344695"/>
    <w:rsid w:val="00356AB3"/>
    <w:rsid w:val="004216A4"/>
    <w:rsid w:val="006860E9"/>
    <w:rsid w:val="009041DB"/>
    <w:rsid w:val="00975D35"/>
    <w:rsid w:val="00A4279D"/>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63019-8103-4462-9F32-66D8ED4F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279D"/>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uiPriority w:val="9"/>
    <w:qFormat/>
    <w:rsid w:val="00A427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nhideWhenUsed/>
    <w:qFormat/>
    <w:rsid w:val="00A4279D"/>
    <w:pPr>
      <w:keepNext/>
      <w:outlineLvl w:val="1"/>
    </w:pPr>
    <w:rPr>
      <w:b/>
    </w:rPr>
  </w:style>
  <w:style w:type="paragraph" w:styleId="Antrat4">
    <w:name w:val="heading 4"/>
    <w:basedOn w:val="prastasis"/>
    <w:next w:val="prastasis"/>
    <w:link w:val="Antrat4Diagrama"/>
    <w:semiHidden/>
    <w:unhideWhenUsed/>
    <w:qFormat/>
    <w:rsid w:val="00A4279D"/>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4279D"/>
    <w:rPr>
      <w:rFonts w:ascii="Times New Roman" w:hAnsi="Times New Roman" w:cs="Times New Roman"/>
      <w:b/>
      <w:szCs w:val="20"/>
      <w:lang w:eastAsia="lt-LT"/>
    </w:rPr>
  </w:style>
  <w:style w:type="character" w:customStyle="1" w:styleId="Antrat4Diagrama">
    <w:name w:val="Antraštė 4 Diagrama"/>
    <w:basedOn w:val="Numatytasispastraiposriftas"/>
    <w:link w:val="Antrat4"/>
    <w:semiHidden/>
    <w:rsid w:val="00A4279D"/>
    <w:rPr>
      <w:rFonts w:ascii="Times New Roman" w:hAnsi="Times New Roman" w:cs="Times New Roman"/>
      <w:szCs w:val="20"/>
      <w:u w:val="single"/>
      <w:lang w:eastAsia="lt-LT"/>
    </w:rPr>
  </w:style>
  <w:style w:type="character" w:styleId="Hipersaitas">
    <w:name w:val="Hyperlink"/>
    <w:basedOn w:val="Numatytasispastraiposriftas"/>
    <w:uiPriority w:val="99"/>
    <w:unhideWhenUsed/>
    <w:rsid w:val="00A4279D"/>
    <w:rPr>
      <w:color w:val="0563C1" w:themeColor="hyperlink"/>
      <w:u w:val="single"/>
    </w:rPr>
  </w:style>
  <w:style w:type="paragraph" w:styleId="Pagrindinistekstas">
    <w:name w:val="Body Text"/>
    <w:basedOn w:val="prastasis"/>
    <w:link w:val="PagrindinistekstasDiagrama"/>
    <w:semiHidden/>
    <w:unhideWhenUsed/>
    <w:rsid w:val="00A4279D"/>
    <w:pPr>
      <w:spacing w:after="120"/>
    </w:pPr>
  </w:style>
  <w:style w:type="character" w:customStyle="1" w:styleId="PagrindinistekstasDiagrama">
    <w:name w:val="Pagrindinis tekstas Diagrama"/>
    <w:basedOn w:val="Numatytasispastraiposriftas"/>
    <w:link w:val="Pagrindinistekstas"/>
    <w:semiHidden/>
    <w:rsid w:val="00A4279D"/>
    <w:rPr>
      <w:rFonts w:ascii="Times New Roman" w:hAnsi="Times New Roman" w:cs="Times New Roman"/>
      <w:szCs w:val="20"/>
      <w:lang w:eastAsia="lt-LT"/>
    </w:rPr>
  </w:style>
  <w:style w:type="character" w:customStyle="1" w:styleId="BTEMEASMCAChar">
    <w:name w:val="BT EMEA_SMCA Char"/>
    <w:link w:val="BTEMEASMCA"/>
    <w:locked/>
    <w:rsid w:val="00A4279D"/>
    <w:rPr>
      <w:rFonts w:ascii="Times New Roman" w:hAnsi="Times New Roman" w:cs="Times New Roman"/>
      <w:noProof/>
    </w:rPr>
  </w:style>
  <w:style w:type="paragraph" w:customStyle="1" w:styleId="BTEMEASMCA">
    <w:name w:val="BT EMEA_SMCA"/>
    <w:basedOn w:val="prastasis"/>
    <w:link w:val="BTEMEASMCAChar"/>
    <w:autoRedefine/>
    <w:rsid w:val="00A4279D"/>
    <w:rPr>
      <w:noProof/>
      <w:szCs w:val="22"/>
      <w:lang w:eastAsia="en-US"/>
    </w:rPr>
  </w:style>
  <w:style w:type="paragraph" w:customStyle="1" w:styleId="PI-3EMEASMCA">
    <w:name w:val="PI-3 EMEA_SMCA"/>
    <w:basedOn w:val="prastasis"/>
    <w:autoRedefine/>
    <w:rsid w:val="00A4279D"/>
    <w:pPr>
      <w:spacing w:line="220" w:lineRule="exact"/>
    </w:pPr>
    <w:rPr>
      <w:b/>
      <w:bCs/>
      <w:szCs w:val="22"/>
      <w:lang w:eastAsia="en-US"/>
    </w:rPr>
  </w:style>
  <w:style w:type="paragraph" w:customStyle="1" w:styleId="BT-EMEASMCA">
    <w:name w:val="BT- EMEA_SMCA"/>
    <w:basedOn w:val="BTEMEASMCA"/>
    <w:autoRedefine/>
    <w:rsid w:val="00A4279D"/>
    <w:pPr>
      <w:tabs>
        <w:tab w:val="left" w:pos="1296"/>
      </w:tabs>
    </w:pPr>
  </w:style>
  <w:style w:type="paragraph" w:customStyle="1" w:styleId="BTbEMEASMCA">
    <w:name w:val="BT(b) EMEA_SMCA"/>
    <w:basedOn w:val="BTEMEASMCA"/>
    <w:autoRedefine/>
    <w:rsid w:val="00A4279D"/>
    <w:rPr>
      <w:b/>
    </w:rPr>
  </w:style>
  <w:style w:type="paragraph" w:customStyle="1" w:styleId="PI-1EMEASMCA">
    <w:name w:val="PI-1 EMEA_SMCA"/>
    <w:basedOn w:val="Antrat2"/>
    <w:autoRedefine/>
    <w:rsid w:val="00A4279D"/>
    <w:pPr>
      <w:tabs>
        <w:tab w:val="left" w:pos="567"/>
      </w:tabs>
      <w:ind w:left="567" w:hanging="567"/>
    </w:pPr>
    <w:rPr>
      <w:szCs w:val="22"/>
      <w:lang w:eastAsia="en-US"/>
    </w:rPr>
  </w:style>
  <w:style w:type="character" w:customStyle="1" w:styleId="TTEMEASMCAChar">
    <w:name w:val="TT EMEA_SMCA Char"/>
    <w:link w:val="TTEMEASMCA"/>
    <w:locked/>
    <w:rsid w:val="00A4279D"/>
    <w:rPr>
      <w:rFonts w:ascii="Times New Roman" w:hAnsi="Times New Roman" w:cs="Times New Roman"/>
      <w:b/>
      <w:caps/>
      <w:lang w:val="en-US"/>
    </w:rPr>
  </w:style>
  <w:style w:type="paragraph" w:customStyle="1" w:styleId="TTEMEASMCA">
    <w:name w:val="TT EMEA_SMCA"/>
    <w:basedOn w:val="Antrat1"/>
    <w:link w:val="TTEMEASMCAChar"/>
    <w:autoRedefine/>
    <w:rsid w:val="00A4279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Antrat1Diagrama">
    <w:name w:val="Antraštė 1 Diagrama"/>
    <w:basedOn w:val="Numatytasispastraiposriftas"/>
    <w:link w:val="Antrat1"/>
    <w:uiPriority w:val="9"/>
    <w:rsid w:val="00A4279D"/>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7353</Words>
  <Characters>4192</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2022-12-02T08:45:00Z</dcterms:created>
  <dcterms:modified xsi:type="dcterms:W3CDTF">2022-12-02T08:45:00Z</dcterms:modified>
</cp:coreProperties>
</file>