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AEA" w:rsidRPr="00937730" w:rsidRDefault="001B3AEA" w:rsidP="001B3AEA">
      <w:pPr>
        <w:tabs>
          <w:tab w:val="left" w:pos="567"/>
        </w:tabs>
        <w:jc w:val="center"/>
        <w:rPr>
          <w:b/>
          <w:bCs/>
          <w:szCs w:val="22"/>
        </w:rPr>
      </w:pPr>
      <w:r w:rsidRPr="00937730">
        <w:rPr>
          <w:b/>
          <w:bCs/>
          <w:szCs w:val="22"/>
        </w:rPr>
        <w:t>Pakuotės lapelis: informacija vartotojui</w:t>
      </w:r>
    </w:p>
    <w:p w:rsidR="001B3AEA" w:rsidRPr="00937730" w:rsidRDefault="001B3AEA" w:rsidP="001B3AEA">
      <w:pPr>
        <w:tabs>
          <w:tab w:val="left" w:pos="567"/>
        </w:tabs>
        <w:rPr>
          <w:szCs w:val="22"/>
        </w:rPr>
      </w:pPr>
    </w:p>
    <w:p w:rsidR="001B3AEA" w:rsidRPr="00937730" w:rsidRDefault="001B3AEA" w:rsidP="001B3AEA">
      <w:pPr>
        <w:tabs>
          <w:tab w:val="left" w:pos="567"/>
        </w:tabs>
        <w:jc w:val="center"/>
        <w:rPr>
          <w:b/>
          <w:szCs w:val="22"/>
        </w:rPr>
      </w:pPr>
      <w:proofErr w:type="spellStart"/>
      <w:r w:rsidRPr="00937730">
        <w:rPr>
          <w:b/>
          <w:szCs w:val="22"/>
        </w:rPr>
        <w:t>Oftan</w:t>
      </w:r>
      <w:proofErr w:type="spellEnd"/>
      <w:r w:rsidRPr="00937730">
        <w:rPr>
          <w:b/>
          <w:szCs w:val="22"/>
        </w:rPr>
        <w:t xml:space="preserve"> </w:t>
      </w:r>
      <w:proofErr w:type="spellStart"/>
      <w:r w:rsidRPr="00937730">
        <w:rPr>
          <w:b/>
          <w:szCs w:val="22"/>
        </w:rPr>
        <w:t>Dexa</w:t>
      </w:r>
      <w:proofErr w:type="spellEnd"/>
      <w:r w:rsidRPr="00937730">
        <w:rPr>
          <w:b/>
          <w:szCs w:val="22"/>
        </w:rPr>
        <w:t xml:space="preserve"> 1 mg/ml akių lašai (tirpalas)</w:t>
      </w:r>
    </w:p>
    <w:p w:rsidR="001B3AEA" w:rsidRPr="00937730" w:rsidRDefault="001B3AEA" w:rsidP="001B3AEA">
      <w:pPr>
        <w:pStyle w:val="Pagrindinistekstas"/>
        <w:spacing w:after="0"/>
        <w:jc w:val="center"/>
        <w:rPr>
          <w:bCs/>
          <w:sz w:val="22"/>
          <w:szCs w:val="22"/>
        </w:rPr>
      </w:pPr>
      <w:proofErr w:type="spellStart"/>
      <w:r w:rsidRPr="00937730">
        <w:rPr>
          <w:bCs/>
          <w:sz w:val="22"/>
          <w:szCs w:val="22"/>
        </w:rPr>
        <w:t>deksametazonas</w:t>
      </w:r>
      <w:proofErr w:type="spellEnd"/>
    </w:p>
    <w:p w:rsidR="001B3AEA" w:rsidRPr="00937730" w:rsidRDefault="001B3AEA" w:rsidP="001B3AEA">
      <w:pPr>
        <w:tabs>
          <w:tab w:val="left" w:pos="567"/>
        </w:tabs>
        <w:rPr>
          <w:b/>
          <w:szCs w:val="22"/>
        </w:rPr>
      </w:pPr>
    </w:p>
    <w:p w:rsidR="001B3AEA" w:rsidRPr="00937730" w:rsidRDefault="001B3AEA" w:rsidP="001B3AEA">
      <w:pPr>
        <w:pStyle w:val="BTbEMEASMCA"/>
        <w:rPr>
          <w:lang w:val="lt-LT"/>
        </w:rPr>
      </w:pPr>
      <w:r w:rsidRPr="00937730">
        <w:rPr>
          <w:lang w:val="lt-LT"/>
        </w:rPr>
        <w:t>Atidžiai perskaitykite visą šį lapelį, prieš pradėdami vartoti vaistą</w:t>
      </w:r>
      <w:r w:rsidRPr="00937730">
        <w:rPr>
          <w:b w:val="0"/>
          <w:lang w:val="lt-LT"/>
        </w:rPr>
        <w:t>,</w:t>
      </w:r>
      <w:r w:rsidRPr="00937730">
        <w:rPr>
          <w:bCs/>
          <w:lang w:val="lt-LT"/>
        </w:rPr>
        <w:t xml:space="preserve"> nes jame pateikiama Jums svarbi informacija.</w:t>
      </w:r>
    </w:p>
    <w:p w:rsidR="001B3AEA" w:rsidRPr="00937730" w:rsidRDefault="001B3AEA" w:rsidP="001B3AEA">
      <w:pPr>
        <w:pStyle w:val="BT-EMEASMCA"/>
        <w:rPr>
          <w:lang w:val="lt-LT"/>
        </w:rPr>
      </w:pPr>
      <w:r w:rsidRPr="00937730">
        <w:rPr>
          <w:lang w:val="lt-LT"/>
        </w:rPr>
        <w:t>Neišmeskite šio lapelio, nes vėl gali prireikti jį perskaityti.</w:t>
      </w:r>
    </w:p>
    <w:p w:rsidR="001B3AEA" w:rsidRPr="00937730" w:rsidRDefault="001B3AEA" w:rsidP="001B3AEA">
      <w:pPr>
        <w:pStyle w:val="BT-EMEASMCA"/>
        <w:rPr>
          <w:lang w:val="lt-LT"/>
        </w:rPr>
      </w:pPr>
      <w:r w:rsidRPr="00937730">
        <w:rPr>
          <w:lang w:val="lt-LT"/>
        </w:rPr>
        <w:t>Jeigu kiltų daugiau klausimų, kreipkitės į gydytoją arba vaistininką.</w:t>
      </w:r>
    </w:p>
    <w:p w:rsidR="001B3AEA" w:rsidRPr="00937730" w:rsidRDefault="001B3AEA" w:rsidP="001B3AEA">
      <w:pPr>
        <w:pStyle w:val="BT-EMEASMCA"/>
        <w:rPr>
          <w:lang w:val="lt-LT"/>
        </w:rPr>
      </w:pPr>
      <w:r w:rsidRPr="00937730">
        <w:rPr>
          <w:lang w:val="lt-LT"/>
        </w:rPr>
        <w:t>Šis vaistas skirtas tik Jums, todėl kitiems žmonėms jo duoti negalima. Vaistas gali jiems pakenkti (net tiems, kurių ligos požymiai yra tokie patys kaip Jūsų).</w:t>
      </w:r>
    </w:p>
    <w:p w:rsidR="001B3AEA" w:rsidRPr="00937730" w:rsidRDefault="001B3AEA" w:rsidP="001B3AEA">
      <w:pPr>
        <w:pStyle w:val="BT-EMEASMCA"/>
        <w:rPr>
          <w:lang w:val="lt-LT"/>
        </w:rPr>
      </w:pPr>
      <w:r w:rsidRPr="00937730">
        <w:rPr>
          <w:lang w:val="lt-LT"/>
        </w:rPr>
        <w:t>Jeigu pasireiškė šalutinis poveikis (net jeigu jis šiame lapelyje nenurodytas), kreipkitės į gydytojąi arba vaistininką.</w:t>
      </w:r>
      <w:r w:rsidRPr="00937730">
        <w:rPr>
          <w:lang w:val="lt-LT" w:eastAsia="lt-LT"/>
        </w:rPr>
        <w:t xml:space="preserve"> </w:t>
      </w:r>
      <w:r w:rsidRPr="00937730">
        <w:rPr>
          <w:lang w:val="lt-LT"/>
        </w:rPr>
        <w:t>Žr. 4 skyrių.</w:t>
      </w:r>
    </w:p>
    <w:p w:rsidR="001B3AEA" w:rsidRPr="00937730" w:rsidRDefault="001B3AEA" w:rsidP="001B3AEA">
      <w:pPr>
        <w:pStyle w:val="BT-EMEASMCA"/>
        <w:numPr>
          <w:ilvl w:val="0"/>
          <w:numId w:val="0"/>
        </w:numPr>
        <w:tabs>
          <w:tab w:val="left" w:pos="1304"/>
        </w:tabs>
        <w:rPr>
          <w:lang w:val="lt-LT"/>
        </w:rPr>
      </w:pPr>
    </w:p>
    <w:p w:rsidR="001B3AEA" w:rsidRPr="00937730" w:rsidRDefault="001B3AEA" w:rsidP="001B3AEA">
      <w:pPr>
        <w:tabs>
          <w:tab w:val="left" w:pos="567"/>
        </w:tabs>
        <w:rPr>
          <w:b/>
          <w:szCs w:val="22"/>
        </w:rPr>
      </w:pPr>
      <w:r w:rsidRPr="00937730">
        <w:rPr>
          <w:b/>
          <w:szCs w:val="22"/>
        </w:rPr>
        <w:t>Apie ką rašoma šiame lapelyje?</w:t>
      </w:r>
    </w:p>
    <w:p w:rsidR="001B3AEA" w:rsidRPr="00937730" w:rsidRDefault="001B3AEA" w:rsidP="001B3AEA">
      <w:pPr>
        <w:tabs>
          <w:tab w:val="left" w:pos="567"/>
        </w:tabs>
        <w:rPr>
          <w:szCs w:val="22"/>
        </w:rPr>
      </w:pPr>
      <w:r w:rsidRPr="00937730">
        <w:rPr>
          <w:szCs w:val="22"/>
        </w:rPr>
        <w:t>1.</w:t>
      </w:r>
      <w:r w:rsidRPr="00937730">
        <w:rPr>
          <w:szCs w:val="22"/>
        </w:rPr>
        <w:tab/>
        <w:t xml:space="preserve">Kas yra </w:t>
      </w: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ir kam jis vartojamas</w:t>
      </w:r>
    </w:p>
    <w:p w:rsidR="001B3AEA" w:rsidRPr="00937730" w:rsidRDefault="001B3AEA" w:rsidP="001B3AEA">
      <w:pPr>
        <w:tabs>
          <w:tab w:val="left" w:pos="567"/>
        </w:tabs>
        <w:rPr>
          <w:szCs w:val="22"/>
        </w:rPr>
      </w:pPr>
      <w:r w:rsidRPr="00937730">
        <w:rPr>
          <w:szCs w:val="22"/>
        </w:rPr>
        <w:t>2.</w:t>
      </w:r>
      <w:r w:rsidRPr="00937730">
        <w:rPr>
          <w:szCs w:val="22"/>
        </w:rPr>
        <w:tab/>
        <w:t xml:space="preserve">Kas žinotina prieš vartojant </w:t>
      </w: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p>
    <w:p w:rsidR="001B3AEA" w:rsidRPr="00937730" w:rsidRDefault="001B3AEA" w:rsidP="001B3AEA">
      <w:pPr>
        <w:tabs>
          <w:tab w:val="left" w:pos="567"/>
        </w:tabs>
        <w:rPr>
          <w:szCs w:val="22"/>
        </w:rPr>
      </w:pPr>
      <w:r w:rsidRPr="00937730">
        <w:rPr>
          <w:szCs w:val="22"/>
        </w:rPr>
        <w:t>3.</w:t>
      </w:r>
      <w:r w:rsidRPr="00937730">
        <w:rPr>
          <w:szCs w:val="22"/>
        </w:rPr>
        <w:tab/>
        <w:t xml:space="preserve">Kaip vartoti </w:t>
      </w: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p>
    <w:p w:rsidR="001B3AEA" w:rsidRPr="00937730" w:rsidRDefault="001B3AEA" w:rsidP="001B3AEA">
      <w:pPr>
        <w:tabs>
          <w:tab w:val="left" w:pos="567"/>
        </w:tabs>
        <w:rPr>
          <w:szCs w:val="22"/>
        </w:rPr>
      </w:pPr>
      <w:r w:rsidRPr="00937730">
        <w:rPr>
          <w:szCs w:val="22"/>
        </w:rPr>
        <w:t>4.</w:t>
      </w:r>
      <w:r w:rsidRPr="00937730">
        <w:rPr>
          <w:szCs w:val="22"/>
        </w:rPr>
        <w:tab/>
        <w:t>Galimas šalutinis poveikis</w:t>
      </w:r>
    </w:p>
    <w:p w:rsidR="001B3AEA" w:rsidRPr="00937730" w:rsidRDefault="001B3AEA" w:rsidP="001B3AEA">
      <w:pPr>
        <w:tabs>
          <w:tab w:val="left" w:pos="567"/>
        </w:tabs>
        <w:rPr>
          <w:szCs w:val="22"/>
        </w:rPr>
      </w:pPr>
      <w:r w:rsidRPr="00937730">
        <w:rPr>
          <w:szCs w:val="22"/>
        </w:rPr>
        <w:t>5.</w:t>
      </w:r>
      <w:r w:rsidRPr="00937730">
        <w:rPr>
          <w:szCs w:val="22"/>
        </w:rPr>
        <w:tab/>
        <w:t xml:space="preserve">Kaip laikyti </w:t>
      </w: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w:t>
      </w:r>
    </w:p>
    <w:p w:rsidR="001B3AEA" w:rsidRPr="00937730" w:rsidRDefault="001B3AEA" w:rsidP="001B3AEA">
      <w:pPr>
        <w:tabs>
          <w:tab w:val="left" w:pos="567"/>
        </w:tabs>
        <w:rPr>
          <w:szCs w:val="22"/>
        </w:rPr>
      </w:pPr>
      <w:r w:rsidRPr="00937730">
        <w:rPr>
          <w:szCs w:val="22"/>
        </w:rPr>
        <w:t>6.</w:t>
      </w:r>
      <w:r w:rsidRPr="00937730">
        <w:rPr>
          <w:szCs w:val="22"/>
        </w:rPr>
        <w:tab/>
        <w:t>Pakuotės turinys ir kita informacija</w:t>
      </w:r>
    </w:p>
    <w:p w:rsidR="001B3AEA" w:rsidRPr="00937730" w:rsidRDefault="001B3AEA" w:rsidP="001B3AEA">
      <w:pPr>
        <w:tabs>
          <w:tab w:val="left" w:pos="567"/>
        </w:tabs>
        <w:rPr>
          <w:szCs w:val="22"/>
        </w:rPr>
      </w:pPr>
    </w:p>
    <w:p w:rsidR="001B3AEA" w:rsidRPr="00937730" w:rsidRDefault="001B3AEA" w:rsidP="001B3AEA">
      <w:pPr>
        <w:tabs>
          <w:tab w:val="left" w:pos="567"/>
        </w:tabs>
        <w:rPr>
          <w:b/>
          <w:szCs w:val="22"/>
        </w:rPr>
      </w:pPr>
    </w:p>
    <w:p w:rsidR="001B3AEA" w:rsidRPr="00937730" w:rsidRDefault="001B3AEA" w:rsidP="001B3AEA">
      <w:pPr>
        <w:pStyle w:val="Antrat1"/>
      </w:pPr>
      <w:r w:rsidRPr="00937730">
        <w:t>1.</w:t>
      </w:r>
      <w:r w:rsidRPr="00937730">
        <w:tab/>
        <w:t xml:space="preserve">Kas yra </w:t>
      </w:r>
      <w:proofErr w:type="spellStart"/>
      <w:r w:rsidRPr="00937730">
        <w:t>Oftan</w:t>
      </w:r>
      <w:proofErr w:type="spellEnd"/>
      <w:r w:rsidRPr="00937730">
        <w:t xml:space="preserve"> </w:t>
      </w:r>
      <w:proofErr w:type="spellStart"/>
      <w:r w:rsidRPr="00937730">
        <w:t>Dexa</w:t>
      </w:r>
      <w:proofErr w:type="spellEnd"/>
      <w:r w:rsidRPr="00937730">
        <w:t xml:space="preserve"> ir kam jis vartojamas</w:t>
      </w:r>
    </w:p>
    <w:p w:rsidR="001B3AEA" w:rsidRPr="00937730" w:rsidRDefault="001B3AEA" w:rsidP="001B3AEA">
      <w:pPr>
        <w:tabs>
          <w:tab w:val="left" w:pos="567"/>
        </w:tabs>
        <w:rPr>
          <w:b/>
          <w:szCs w:val="22"/>
        </w:rPr>
      </w:pPr>
    </w:p>
    <w:p w:rsidR="001B3AEA" w:rsidRPr="00937730" w:rsidRDefault="001B3AEA" w:rsidP="001B3AEA">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sudėtyje yra </w:t>
      </w:r>
      <w:proofErr w:type="spellStart"/>
      <w:r w:rsidRPr="00937730">
        <w:rPr>
          <w:szCs w:val="22"/>
        </w:rPr>
        <w:t>deksametazono</w:t>
      </w:r>
      <w:proofErr w:type="spellEnd"/>
      <w:r w:rsidRPr="00937730">
        <w:rPr>
          <w:szCs w:val="22"/>
        </w:rPr>
        <w:t xml:space="preserve">. </w:t>
      </w:r>
      <w:proofErr w:type="spellStart"/>
      <w:r w:rsidRPr="00937730">
        <w:rPr>
          <w:szCs w:val="22"/>
        </w:rPr>
        <w:t>Deksametazonas</w:t>
      </w:r>
      <w:proofErr w:type="spellEnd"/>
      <w:r w:rsidRPr="00937730">
        <w:rPr>
          <w:szCs w:val="22"/>
        </w:rPr>
        <w:t xml:space="preserve"> yra kortikosteroidas, mažinantis paraudimą, patinimą, niežėjimą ir akių skausmą.</w:t>
      </w:r>
    </w:p>
    <w:p w:rsidR="001B3AEA" w:rsidRPr="00937730" w:rsidRDefault="001B3AEA" w:rsidP="001B3AEA">
      <w:pPr>
        <w:tabs>
          <w:tab w:val="left" w:pos="567"/>
        </w:tabs>
        <w:rPr>
          <w:b/>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gydomas neinfekcinis akių uždegimas, pvz., alerginis uždegimas ir rainelės uždegimas (iritas) arba jų vartojama po akių operacijos.</w:t>
      </w:r>
    </w:p>
    <w:p w:rsidR="001B3AEA" w:rsidRPr="00937730" w:rsidRDefault="001B3AEA" w:rsidP="001B3AEA">
      <w:pPr>
        <w:pStyle w:val="BTEMEASMCA"/>
        <w:rPr>
          <w:lang w:val="lt-LT"/>
        </w:rPr>
      </w:pPr>
    </w:p>
    <w:p w:rsidR="001B3AEA" w:rsidRPr="00937730" w:rsidRDefault="001B3AEA" w:rsidP="001B3AEA">
      <w:pPr>
        <w:pStyle w:val="BTEMEASMCA"/>
        <w:rPr>
          <w:lang w:val="lt-LT"/>
        </w:rPr>
      </w:pPr>
    </w:p>
    <w:p w:rsidR="001B3AEA" w:rsidRPr="00937730" w:rsidRDefault="001B3AEA" w:rsidP="001B3AEA">
      <w:pPr>
        <w:pStyle w:val="Antrat1"/>
      </w:pPr>
      <w:r w:rsidRPr="00937730">
        <w:t>2.</w:t>
      </w:r>
      <w:r w:rsidRPr="00937730">
        <w:tab/>
        <w:t xml:space="preserve">Kas žinotina prieš vartojant </w:t>
      </w:r>
      <w:proofErr w:type="spellStart"/>
      <w:r w:rsidRPr="00937730">
        <w:t>Oftan</w:t>
      </w:r>
      <w:proofErr w:type="spellEnd"/>
      <w:r w:rsidRPr="00937730">
        <w:t> </w:t>
      </w:r>
      <w:proofErr w:type="spellStart"/>
      <w:r w:rsidRPr="00937730">
        <w:t>Dexa</w:t>
      </w:r>
      <w:proofErr w:type="spellEnd"/>
    </w:p>
    <w:p w:rsidR="001B3AEA" w:rsidRPr="00937730" w:rsidRDefault="001B3AEA" w:rsidP="001B3AEA">
      <w:pPr>
        <w:pStyle w:val="BTEMEASMCA"/>
        <w:tabs>
          <w:tab w:val="left" w:pos="3332"/>
          <w:tab w:val="left" w:pos="4337"/>
        </w:tabs>
        <w:jc w:val="both"/>
        <w:rPr>
          <w:lang w:val="lt-LT"/>
        </w:rPr>
      </w:pPr>
    </w:p>
    <w:p w:rsidR="001B3AEA" w:rsidRPr="00937730" w:rsidRDefault="001B3AEA" w:rsidP="001B3AEA">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vartoti </w:t>
      </w:r>
      <w:r>
        <w:t>draudžia</w:t>
      </w:r>
      <w:r w:rsidRPr="00937730">
        <w:t>ma:</w:t>
      </w:r>
    </w:p>
    <w:p w:rsidR="001B3AEA" w:rsidRPr="00937730" w:rsidRDefault="001B3AEA" w:rsidP="001B3AEA">
      <w:pPr>
        <w:pStyle w:val="BT-EMEASMCA"/>
        <w:tabs>
          <w:tab w:val="num" w:pos="720"/>
        </w:tabs>
        <w:rPr>
          <w:lang w:val="lt-LT"/>
        </w:rPr>
      </w:pPr>
      <w:r w:rsidRPr="00937730">
        <w:rPr>
          <w:lang w:val="lt-LT"/>
        </w:rPr>
        <w:t>jeigu yra alergija deksametazonui arba bet kuriai pagalbinei šio vaisto medžiagai (jos išvardytos 6 skyriuje);</w:t>
      </w:r>
    </w:p>
    <w:p w:rsidR="001B3AEA" w:rsidRPr="00937730" w:rsidRDefault="001B3AEA" w:rsidP="001B3AEA">
      <w:pPr>
        <w:pStyle w:val="BT-EMEASMCA"/>
        <w:tabs>
          <w:tab w:val="num" w:pos="720"/>
        </w:tabs>
        <w:rPr>
          <w:lang w:val="lt-LT"/>
        </w:rPr>
      </w:pPr>
      <w:r w:rsidRPr="00937730">
        <w:rPr>
          <w:rStyle w:val="BTEMEASMCAChar"/>
          <w:rFonts w:eastAsia="MS Gothic"/>
          <w:lang w:val="lt-LT"/>
        </w:rPr>
        <w:t>jei Jūs sergate akies infekcija, sukelta</w:t>
      </w:r>
      <w:r>
        <w:rPr>
          <w:rStyle w:val="BTEMEASMCAChar"/>
          <w:rFonts w:eastAsia="MS Gothic"/>
          <w:lang w:val="lt-LT"/>
        </w:rPr>
        <w:t xml:space="preserve"> </w:t>
      </w:r>
      <w:r w:rsidRPr="00937730">
        <w:rPr>
          <w:rStyle w:val="BTEMEASMCAChar"/>
          <w:rFonts w:eastAsia="MS Gothic"/>
          <w:lang w:val="lt-LT"/>
        </w:rPr>
        <w:t>grybelių ar virusų, pvz., paprastosios pūslelinės, vėjaraupių, raupų vakcinos virusų;</w:t>
      </w:r>
    </w:p>
    <w:p w:rsidR="001B3AEA" w:rsidRPr="00937730" w:rsidRDefault="001B3AEA" w:rsidP="001B3AEA">
      <w:pPr>
        <w:pStyle w:val="BT-EMEASMCA"/>
        <w:tabs>
          <w:tab w:val="num" w:pos="720"/>
        </w:tabs>
        <w:rPr>
          <w:noProof w:val="0"/>
          <w:lang w:val="lt-LT"/>
        </w:rPr>
      </w:pPr>
      <w:r w:rsidRPr="00937730">
        <w:rPr>
          <w:noProof w:val="0"/>
          <w:lang w:val="lt-LT"/>
        </w:rPr>
        <w:t xml:space="preserve">jeigu Jūs </w:t>
      </w:r>
      <w:r w:rsidRPr="00937730">
        <w:rPr>
          <w:lang w:val="lt-LT"/>
        </w:rPr>
        <w:t>sergate akių tuberkulioze;</w:t>
      </w:r>
    </w:p>
    <w:p w:rsidR="001B3AEA" w:rsidRPr="00937730" w:rsidRDefault="001B3AEA" w:rsidP="001B3AEA">
      <w:pPr>
        <w:pStyle w:val="BT-EMEASMCA"/>
        <w:tabs>
          <w:tab w:val="num" w:pos="720"/>
        </w:tabs>
        <w:rPr>
          <w:lang w:val="lt-LT"/>
        </w:rPr>
      </w:pPr>
      <w:r w:rsidRPr="00937730">
        <w:rPr>
          <w:lang w:val="lt-LT"/>
        </w:rPr>
        <w:t>jeigu perforavo ragena (akies paviršius);</w:t>
      </w:r>
    </w:p>
    <w:p w:rsidR="001B3AEA" w:rsidRPr="00937730" w:rsidRDefault="001B3AEA" w:rsidP="001B3AEA">
      <w:pPr>
        <w:pStyle w:val="BT-EMEASMCA"/>
        <w:tabs>
          <w:tab w:val="num" w:pos="720"/>
        </w:tabs>
        <w:rPr>
          <w:noProof w:val="0"/>
          <w:lang w:val="lt-LT"/>
        </w:rPr>
      </w:pPr>
      <w:r w:rsidRPr="00937730">
        <w:rPr>
          <w:lang w:val="lt-LT"/>
        </w:rPr>
        <w:t>jeigu sergate pūlingu akių uždegimu ir nevartojate vaistų, infekcinėms ligoms gydyti.</w:t>
      </w:r>
    </w:p>
    <w:p w:rsidR="001B3AEA" w:rsidRPr="00937730" w:rsidRDefault="001B3AEA" w:rsidP="001B3AEA">
      <w:pPr>
        <w:pStyle w:val="BTEMEASMCA"/>
        <w:rPr>
          <w:lang w:val="lt-LT"/>
        </w:rPr>
      </w:pPr>
    </w:p>
    <w:p w:rsidR="001B3AEA" w:rsidRPr="00937730" w:rsidRDefault="001B3AEA" w:rsidP="001B3AEA">
      <w:pPr>
        <w:pStyle w:val="PI-3EMEASMCA"/>
        <w:spacing w:line="240" w:lineRule="auto"/>
        <w:rPr>
          <w:bCs w:val="0"/>
        </w:rPr>
      </w:pPr>
      <w:r w:rsidRPr="00937730">
        <w:rPr>
          <w:bCs w:val="0"/>
          <w:noProof/>
        </w:rPr>
        <w:t>Įspėjimai ir atsargumo priemonės</w:t>
      </w:r>
    </w:p>
    <w:p w:rsidR="001B3AEA" w:rsidRPr="00937730" w:rsidRDefault="001B3AEA" w:rsidP="001B3AEA">
      <w:pPr>
        <w:pStyle w:val="PI-3EMEASMCA"/>
        <w:spacing w:line="240" w:lineRule="auto"/>
        <w:rPr>
          <w:b w:val="0"/>
          <w:bCs w:val="0"/>
        </w:rPr>
      </w:pPr>
      <w:r w:rsidRPr="00937730">
        <w:rPr>
          <w:b w:val="0"/>
          <w:bCs w:val="0"/>
        </w:rPr>
        <w:t xml:space="preserve">Pasitarkite su gydytoju arba, vaistininku, prieš pradėdami vartoti </w:t>
      </w:r>
      <w:proofErr w:type="spellStart"/>
      <w:r w:rsidRPr="00937730">
        <w:rPr>
          <w:b w:val="0"/>
          <w:bCs w:val="0"/>
        </w:rPr>
        <w:t>Oftan</w:t>
      </w:r>
      <w:proofErr w:type="spellEnd"/>
      <w:r w:rsidRPr="00937730">
        <w:rPr>
          <w:b w:val="0"/>
          <w:bCs w:val="0"/>
        </w:rPr>
        <w:t xml:space="preserve"> </w:t>
      </w:r>
      <w:proofErr w:type="spellStart"/>
      <w:r w:rsidRPr="00937730">
        <w:rPr>
          <w:b w:val="0"/>
          <w:bCs w:val="0"/>
        </w:rPr>
        <w:t>Dexa</w:t>
      </w:r>
      <w:proofErr w:type="spellEnd"/>
      <w:r w:rsidRPr="00937730">
        <w:rPr>
          <w:b w:val="0"/>
          <w:bCs w:val="0"/>
        </w:rPr>
        <w:t>.</w:t>
      </w:r>
    </w:p>
    <w:p w:rsidR="001B3AEA" w:rsidRPr="00937730" w:rsidRDefault="001B3AEA" w:rsidP="001B3AEA">
      <w:pPr>
        <w:pStyle w:val="PI-3EMEASMCA"/>
        <w:numPr>
          <w:ilvl w:val="0"/>
          <w:numId w:val="3"/>
        </w:numPr>
        <w:tabs>
          <w:tab w:val="left" w:pos="567"/>
        </w:tabs>
        <w:spacing w:line="240" w:lineRule="auto"/>
        <w:ind w:left="567" w:hanging="567"/>
        <w:rPr>
          <w:b w:val="0"/>
          <w:bCs w:val="0"/>
        </w:rPr>
      </w:pPr>
      <w:r w:rsidRPr="00937730">
        <w:rPr>
          <w:b w:val="0"/>
          <w:bCs w:val="0"/>
        </w:rPr>
        <w:t>jeigu sergate infekciniu akių uždegimu;</w:t>
      </w:r>
    </w:p>
    <w:p w:rsidR="001B3AEA" w:rsidRPr="00937730" w:rsidRDefault="001B3AEA" w:rsidP="001B3AEA">
      <w:pPr>
        <w:pStyle w:val="PI-3EMEASMCA"/>
        <w:numPr>
          <w:ilvl w:val="0"/>
          <w:numId w:val="3"/>
        </w:numPr>
        <w:tabs>
          <w:tab w:val="left" w:pos="567"/>
        </w:tabs>
        <w:spacing w:line="240" w:lineRule="auto"/>
        <w:ind w:left="567" w:hanging="567"/>
        <w:rPr>
          <w:b w:val="0"/>
          <w:bCs w:val="0"/>
        </w:rPr>
      </w:pPr>
      <w:r w:rsidRPr="00937730">
        <w:rPr>
          <w:b w:val="0"/>
          <w:bCs w:val="0"/>
        </w:rPr>
        <w:t>jeigu yra pažeista ragena (akies paviršius), nes vartojant šį vaistą ragena gali ilgiau gyti;</w:t>
      </w:r>
    </w:p>
    <w:p w:rsidR="001B3AEA" w:rsidRPr="00937730" w:rsidRDefault="001B3AEA" w:rsidP="001B3AEA">
      <w:pPr>
        <w:pStyle w:val="PI-3EMEASMCA"/>
        <w:numPr>
          <w:ilvl w:val="0"/>
          <w:numId w:val="3"/>
        </w:numPr>
        <w:tabs>
          <w:tab w:val="left" w:pos="567"/>
        </w:tabs>
        <w:spacing w:line="240" w:lineRule="auto"/>
        <w:ind w:left="567" w:hanging="567"/>
        <w:rPr>
          <w:b w:val="0"/>
          <w:bCs w:val="0"/>
        </w:rPr>
      </w:pPr>
      <w:r w:rsidRPr="00937730">
        <w:rPr>
          <w:b w:val="0"/>
          <w:bCs w:val="0"/>
        </w:rPr>
        <w:t>jeigu sergate liga, sukeliančia ragenos ar junginės (skaidri gleivinė, dengianti vidinį voko paviršių ir baltąją akies obuolio dalį – odeną) suplonėjimą, kadangi tokiems ligoniams ragena gali perforuoti dažniau;</w:t>
      </w:r>
    </w:p>
    <w:p w:rsidR="001B3AEA" w:rsidRPr="00937730" w:rsidRDefault="001B3AEA" w:rsidP="001B3AEA">
      <w:pPr>
        <w:pStyle w:val="PI-3EMEASMCA"/>
        <w:numPr>
          <w:ilvl w:val="0"/>
          <w:numId w:val="3"/>
        </w:numPr>
        <w:tabs>
          <w:tab w:val="left" w:pos="567"/>
        </w:tabs>
        <w:spacing w:line="240" w:lineRule="auto"/>
        <w:ind w:left="567" w:hanging="567"/>
        <w:rPr>
          <w:b w:val="0"/>
          <w:bCs w:val="0"/>
        </w:rPr>
      </w:pPr>
      <w:r w:rsidRPr="00937730">
        <w:rPr>
          <w:b w:val="0"/>
          <w:bCs w:val="0"/>
        </w:rPr>
        <w:t>jei akis paraudusi, o priežastis, dėl ko reikėtų vartoti šį vaistą, neaiški. Tais atvejais šio vaisto vartoti negalima, nes tai gali pakenkti Jūsų regai.</w:t>
      </w:r>
    </w:p>
    <w:p w:rsidR="001B3AEA" w:rsidRPr="00937730" w:rsidRDefault="001B3AEA" w:rsidP="001B3AEA">
      <w:pPr>
        <w:pStyle w:val="BTEMEASMCA"/>
        <w:tabs>
          <w:tab w:val="left" w:pos="567"/>
        </w:tabs>
        <w:rPr>
          <w:lang w:val="lt-LT"/>
        </w:rPr>
      </w:pPr>
      <w:r w:rsidRPr="00937730">
        <w:rPr>
          <w:lang w:val="lt-LT"/>
        </w:rPr>
        <w:t>Šio vaisto vartojimas gali paslėpti pūlinės infekcinės akių ligos simptomus arba tokią ligą pasunkinti. Tokiu atveju būtinas gydymas antibiotikais.</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Šis vaistas taip pat gali padidinti kataraktos (akių lęšiuko padrumstėjimas pabloginantis regėjimą) riziką.</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lastRenderedPageBreak/>
        <w:t>Ilgalaikis gydymas padidina grybelinės, bakterinės ir virusinės infekcijos riziką.</w:t>
      </w:r>
    </w:p>
    <w:p w:rsidR="001B3AEA" w:rsidRDefault="001B3AEA" w:rsidP="001B3AEA">
      <w:pPr>
        <w:pStyle w:val="BTEMEASMCA"/>
        <w:rPr>
          <w:lang w:val="lt-LT"/>
        </w:rPr>
      </w:pPr>
    </w:p>
    <w:p w:rsidR="001B3AEA" w:rsidRDefault="001B3AEA" w:rsidP="001B3AEA">
      <w:pPr>
        <w:pStyle w:val="BTEMEASMCA"/>
        <w:rPr>
          <w:lang w:val="lt-LT"/>
        </w:rPr>
      </w:pPr>
      <w:r w:rsidRPr="00ED3D47">
        <w:rPr>
          <w:lang w:val="lt-LT"/>
        </w:rPr>
        <w:t>Jeigu prad</w:t>
      </w:r>
      <w:r>
        <w:rPr>
          <w:lang w:val="lt-LT"/>
        </w:rPr>
        <w:t>ė</w:t>
      </w:r>
      <w:r w:rsidRPr="00ED3D47">
        <w:rPr>
          <w:lang w:val="lt-LT"/>
        </w:rPr>
        <w:t>tum</w:t>
      </w:r>
      <w:r>
        <w:rPr>
          <w:lang w:val="lt-LT"/>
        </w:rPr>
        <w:t>ė</w:t>
      </w:r>
      <w:r w:rsidRPr="00ED3D47">
        <w:rPr>
          <w:lang w:val="lt-LT"/>
        </w:rPr>
        <w:t>te matyti lyg per migl</w:t>
      </w:r>
      <w:r>
        <w:rPr>
          <w:lang w:val="lt-LT"/>
        </w:rPr>
        <w:t>ą</w:t>
      </w:r>
      <w:r w:rsidRPr="00ED3D47">
        <w:rPr>
          <w:lang w:val="lt-LT"/>
        </w:rPr>
        <w:t xml:space="preserve"> arba </w:t>
      </w:r>
      <w:r>
        <w:rPr>
          <w:lang w:val="lt-LT"/>
        </w:rPr>
        <w:t>J</w:t>
      </w:r>
      <w:r w:rsidRPr="00ED3D47">
        <w:rPr>
          <w:lang w:val="lt-LT"/>
        </w:rPr>
        <w:t>ums pasireikšt</w:t>
      </w:r>
      <w:r>
        <w:rPr>
          <w:lang w:val="lt-LT"/>
        </w:rPr>
        <w:t>ų</w:t>
      </w:r>
      <w:r w:rsidRPr="00ED3D47">
        <w:rPr>
          <w:lang w:val="lt-LT"/>
        </w:rPr>
        <w:t xml:space="preserve"> kiti reg</w:t>
      </w:r>
      <w:r>
        <w:rPr>
          <w:lang w:val="lt-LT"/>
        </w:rPr>
        <w:t>ė</w:t>
      </w:r>
      <w:r w:rsidRPr="00ED3D47">
        <w:rPr>
          <w:lang w:val="lt-LT"/>
        </w:rPr>
        <w:t>jimo sutrikimai,</w:t>
      </w:r>
      <w:r>
        <w:rPr>
          <w:lang w:val="lt-LT"/>
        </w:rPr>
        <w:t xml:space="preserve"> </w:t>
      </w:r>
      <w:r w:rsidRPr="00ED3D47">
        <w:rPr>
          <w:lang w:val="lt-LT"/>
        </w:rPr>
        <w:t>kreipkit</w:t>
      </w:r>
      <w:r>
        <w:rPr>
          <w:lang w:val="lt-LT"/>
        </w:rPr>
        <w:t>ė</w:t>
      </w:r>
      <w:r w:rsidRPr="00ED3D47">
        <w:rPr>
          <w:lang w:val="lt-LT"/>
        </w:rPr>
        <w:t xml:space="preserve">s </w:t>
      </w:r>
      <w:r>
        <w:rPr>
          <w:lang w:val="lt-LT"/>
        </w:rPr>
        <w:t>į</w:t>
      </w:r>
      <w:r w:rsidRPr="00ED3D47">
        <w:rPr>
          <w:lang w:val="lt-LT"/>
        </w:rPr>
        <w:t xml:space="preserve"> savo gydytoj</w:t>
      </w:r>
      <w:r>
        <w:rPr>
          <w:lang w:val="lt-LT"/>
        </w:rPr>
        <w:t>ą</w:t>
      </w:r>
      <w:r w:rsidRPr="00ED3D47">
        <w:rPr>
          <w:lang w:val="lt-LT"/>
        </w:rPr>
        <w:t xml:space="preserve">. </w:t>
      </w:r>
    </w:p>
    <w:p w:rsidR="001B3AEA" w:rsidRPr="00937730" w:rsidRDefault="001B3AEA" w:rsidP="001B3AEA">
      <w:pPr>
        <w:pStyle w:val="BTEMEASMCA"/>
        <w:rPr>
          <w:lang w:val="lt-LT"/>
        </w:rPr>
      </w:pPr>
      <w:r w:rsidRPr="00937730">
        <w:rPr>
          <w:lang w:val="lt-LT"/>
        </w:rPr>
        <w:t>Ilgai vartojant deksametazoną (ilgiau kaip dvi savaites) gali padidėti akispūdis ir Jums gali prireikti nutraukti šio vaisto vartojimą.</w:t>
      </w:r>
    </w:p>
    <w:p w:rsidR="001B3AEA" w:rsidRPr="00937730" w:rsidRDefault="001B3AEA" w:rsidP="001B3AEA">
      <w:pPr>
        <w:pStyle w:val="BTEMEASMCA"/>
        <w:rPr>
          <w:lang w:val="lt-LT"/>
        </w:rPr>
      </w:pPr>
      <w:r w:rsidRPr="00937730">
        <w:rPr>
          <w:lang w:val="lt-LT"/>
        </w:rPr>
        <w:t>Vartojant šį vaistą ilgą laiką, rekomenduojama stebėti regenos būklę. Gauta pranešimų apie kalcio sankaupas ragenoje, atsiradusias dėl kortikosteroidų vartojimo.</w:t>
      </w:r>
    </w:p>
    <w:p w:rsidR="001B3AEA" w:rsidRPr="00937730" w:rsidRDefault="001B3AEA" w:rsidP="001B3AEA">
      <w:pPr>
        <w:pStyle w:val="BTEMEASMCA"/>
        <w:rPr>
          <w:lang w:val="lt-LT"/>
        </w:rPr>
      </w:pPr>
    </w:p>
    <w:p w:rsidR="001B3AEA" w:rsidRPr="00937730" w:rsidRDefault="001B3AEA" w:rsidP="001B3AEA">
      <w:pPr>
        <w:pStyle w:val="BTEMEASMCA"/>
        <w:rPr>
          <w:rStyle w:val="BTEMEASMCAChar"/>
          <w:rFonts w:eastAsia="MS Gothic"/>
          <w:lang w:val="lt-LT"/>
        </w:rPr>
      </w:pPr>
      <w:r w:rsidRPr="00937730">
        <w:rPr>
          <w:rStyle w:val="BTEMEASMCAChar"/>
          <w:rFonts w:eastAsia="MS Gothic"/>
          <w:lang w:val="lt-LT"/>
        </w:rPr>
        <w:t>Jei nešiojate kontaktinius lęšius</w:t>
      </w:r>
    </w:p>
    <w:p w:rsidR="001B3AEA" w:rsidRPr="00937730" w:rsidRDefault="001B3AEA" w:rsidP="001B3AEA">
      <w:pPr>
        <w:pStyle w:val="BTEMEASMCA"/>
        <w:rPr>
          <w:rStyle w:val="BTEMEASMCAChar"/>
          <w:rFonts w:eastAsia="MS Gothic"/>
          <w:lang w:val="lt-LT"/>
        </w:rPr>
      </w:pPr>
      <w:r w:rsidRPr="00937730">
        <w:rPr>
          <w:rStyle w:val="BTEMEASMCAChar"/>
          <w:rFonts w:eastAsia="MS Gothic"/>
          <w:lang w:val="lt-LT"/>
        </w:rPr>
        <w:t>Nepatariama nešioti kontaktinių lęšių (kietų ar</w:t>
      </w:r>
      <w:r w:rsidRPr="00937730">
        <w:rPr>
          <w:lang w:val="lt-LT"/>
        </w:rPr>
        <w:t xml:space="preserve"> </w:t>
      </w:r>
      <w:r w:rsidRPr="00937730">
        <w:rPr>
          <w:rStyle w:val="BTEMEASMCAChar"/>
          <w:rFonts w:eastAsia="MS Gothic"/>
          <w:lang w:val="lt-LT"/>
        </w:rPr>
        <w:t>minkštų) tol, kol gydomas akių uždegimas.</w:t>
      </w:r>
    </w:p>
    <w:p w:rsidR="001B3AEA" w:rsidRPr="00937730" w:rsidRDefault="001B3AEA" w:rsidP="001B3AEA">
      <w:pPr>
        <w:pStyle w:val="BTEMEASMCA"/>
        <w:rPr>
          <w:rStyle w:val="BTEMEASMCAChar"/>
          <w:rFonts w:eastAsia="MS Gothic"/>
          <w:lang w:val="lt-LT"/>
        </w:rPr>
      </w:pPr>
    </w:p>
    <w:p w:rsidR="001B3AEA" w:rsidRPr="00937730" w:rsidRDefault="001B3AEA" w:rsidP="001B3AEA">
      <w:pPr>
        <w:pStyle w:val="BTEMEASMCA"/>
        <w:rPr>
          <w:lang w:val="lt-LT"/>
        </w:rPr>
      </w:pPr>
      <w:r w:rsidRPr="00937730">
        <w:rPr>
          <w:b/>
          <w:lang w:val="lt-LT"/>
        </w:rPr>
        <w:t>Vaikams ir paaugliams</w:t>
      </w:r>
    </w:p>
    <w:p w:rsidR="001B3AEA" w:rsidRPr="00937730" w:rsidRDefault="001B3AEA" w:rsidP="001B3AEA">
      <w:pPr>
        <w:pStyle w:val="BTEMEASMCA"/>
        <w:rPr>
          <w:lang w:val="lt-LT"/>
        </w:rPr>
      </w:pPr>
      <w:r w:rsidRPr="00937730">
        <w:rPr>
          <w:lang w:val="lt-LT"/>
        </w:rPr>
        <w:t>Šio vaisto nerekomenduojama vartoti pacientams, jaunesniems kaip 18 metų.</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r w:rsidRPr="00937730">
        <w:t xml:space="preserve">Kiti vaistai ir </w:t>
      </w:r>
      <w:proofErr w:type="spellStart"/>
      <w:r w:rsidRPr="00937730">
        <w:t>Oftan</w:t>
      </w:r>
      <w:proofErr w:type="spellEnd"/>
      <w:r w:rsidRPr="00937730">
        <w:t> </w:t>
      </w:r>
      <w:proofErr w:type="spellStart"/>
      <w:r w:rsidRPr="00937730">
        <w:t>Dexa</w:t>
      </w:r>
      <w:proofErr w:type="spellEnd"/>
    </w:p>
    <w:p w:rsidR="001B3AEA" w:rsidRPr="00937730" w:rsidRDefault="001B3AEA" w:rsidP="001B3AEA">
      <w:pPr>
        <w:pStyle w:val="BTEMEASMCA"/>
        <w:rPr>
          <w:lang w:val="lt-LT"/>
        </w:rPr>
      </w:pPr>
      <w:r w:rsidRPr="00937730">
        <w:rPr>
          <w:lang w:val="lt-LT"/>
        </w:rPr>
        <w:t>Jeigu vartojate ar neseniai vartojote kitų vaistų arba dėl to nesate tikri, apie tai pasakykite gydytojui arba vaistininkui.</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Jeigu vartojate keletą vaistų į tą pačią akį, tarp atskirų vaistų sulašinimo darykite bent 5 minučių pertrauką.</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r w:rsidRPr="00937730">
        <w:t>Nėštumas ir žindymo laikotarpis</w:t>
      </w:r>
    </w:p>
    <w:p w:rsidR="001B3AEA" w:rsidRPr="00937730" w:rsidRDefault="001B3AEA" w:rsidP="001B3AEA">
      <w:pPr>
        <w:pStyle w:val="BTEMEASMCA"/>
        <w:rPr>
          <w:lang w:val="lt-LT"/>
        </w:rPr>
      </w:pPr>
      <w:r w:rsidRPr="00937730">
        <w:rPr>
          <w:lang w:val="lt-LT"/>
        </w:rPr>
        <w:t>Jeigu esate nėščia, žindote kūdikį, manote, kad galbūt esate nėščia arba planuojate pastoti, tai prieš vartodama šį vaistą pasitarkite su gydytoju arba vaistininku.</w:t>
      </w:r>
    </w:p>
    <w:p w:rsidR="001B3AEA" w:rsidRPr="00937730" w:rsidRDefault="001B3AEA" w:rsidP="001B3AEA">
      <w:pPr>
        <w:pStyle w:val="BTEMEASMCA"/>
        <w:rPr>
          <w:lang w:val="lt-LT"/>
        </w:rPr>
      </w:pPr>
    </w:p>
    <w:p w:rsidR="001B3AEA" w:rsidRPr="00937730" w:rsidRDefault="001B3AEA" w:rsidP="001B3AEA">
      <w:pPr>
        <w:rPr>
          <w:szCs w:val="22"/>
        </w:rPr>
      </w:pPr>
      <w:r w:rsidRPr="00937730">
        <w:rPr>
          <w:szCs w:val="22"/>
        </w:rPr>
        <w:t>Nėštumas</w:t>
      </w:r>
    </w:p>
    <w:p w:rsidR="001B3AEA" w:rsidRPr="00937730" w:rsidRDefault="001B3AEA" w:rsidP="001B3AEA">
      <w:pPr>
        <w:rPr>
          <w:szCs w:val="22"/>
        </w:rPr>
      </w:pPr>
      <w:r w:rsidRPr="00937730">
        <w:rPr>
          <w:szCs w:val="22"/>
        </w:rPr>
        <w:t>Šio vaisto nėštumo metu vartoti negalima, išskyrus neabejotinai būtinus atvejus.</w:t>
      </w:r>
    </w:p>
    <w:p w:rsidR="001B3AEA" w:rsidRPr="00937730" w:rsidRDefault="001B3AEA" w:rsidP="001B3AEA">
      <w:pPr>
        <w:rPr>
          <w:szCs w:val="22"/>
        </w:rPr>
      </w:pPr>
    </w:p>
    <w:p w:rsidR="001B3AEA" w:rsidRPr="00937730" w:rsidRDefault="001B3AEA" w:rsidP="001B3AEA">
      <w:pPr>
        <w:rPr>
          <w:szCs w:val="22"/>
        </w:rPr>
      </w:pPr>
      <w:r w:rsidRPr="00937730">
        <w:rPr>
          <w:szCs w:val="22"/>
        </w:rPr>
        <w:t>Žindymo laikotarpis</w:t>
      </w:r>
    </w:p>
    <w:p w:rsidR="001B3AEA" w:rsidRPr="00937730" w:rsidRDefault="001B3AEA" w:rsidP="001B3AEA">
      <w:pPr>
        <w:rPr>
          <w:szCs w:val="22"/>
        </w:rPr>
      </w:pPr>
      <w:r w:rsidRPr="00937730">
        <w:rPr>
          <w:szCs w:val="22"/>
        </w:rPr>
        <w:t xml:space="preserve">Nedidelė dalis </w:t>
      </w:r>
      <w:proofErr w:type="spellStart"/>
      <w:r w:rsidRPr="00937730">
        <w:rPr>
          <w:szCs w:val="22"/>
        </w:rPr>
        <w:t>deksametazono</w:t>
      </w:r>
      <w:proofErr w:type="spellEnd"/>
      <w:r w:rsidRPr="00937730">
        <w:rPr>
          <w:szCs w:val="22"/>
        </w:rPr>
        <w:t xml:space="preserve"> gali patekti į motinos pieną. Todėl žindančios moterys šį vaistą turi vartoti tik tada, kai tai absoliučiai būtina. Jei žindote, pasitarkite su gydytoju, kad nuspręstumėte, ar turite nustoti žindyti, kai vartojate šį vaistą.</w:t>
      </w:r>
    </w:p>
    <w:p w:rsidR="001B3AEA" w:rsidRPr="00937730" w:rsidRDefault="001B3AEA" w:rsidP="001B3AEA">
      <w:pPr>
        <w:rPr>
          <w:szCs w:val="22"/>
        </w:rPr>
      </w:pPr>
    </w:p>
    <w:p w:rsidR="001B3AEA" w:rsidRPr="00937730" w:rsidRDefault="001B3AEA" w:rsidP="001B3AEA">
      <w:pPr>
        <w:pStyle w:val="PI-3EMEASMCA"/>
        <w:spacing w:line="240" w:lineRule="auto"/>
      </w:pPr>
      <w:r w:rsidRPr="00937730">
        <w:t>Vairavimas ir mechanizmų valdymas</w:t>
      </w:r>
    </w:p>
    <w:p w:rsidR="001B3AEA" w:rsidRPr="00937730" w:rsidRDefault="001B3AEA" w:rsidP="001B3AEA">
      <w:pPr>
        <w:pStyle w:val="BTEMEASMCA"/>
        <w:rPr>
          <w:noProof w:val="0"/>
          <w:lang w:val="lt-LT"/>
        </w:rPr>
      </w:pPr>
      <w:r w:rsidRPr="00937730">
        <w:rPr>
          <w:lang w:val="lt-LT"/>
        </w:rPr>
        <w:t>Oftan Dexa akių lašai gebėjimo vairuoti ar valdyti mechanizmus beveik neveikia. Kaip ir vartojant kitokius preparatus akims, jeigu pavartojus šį vaistą matymas laikinai tampa neryškus, prieš pradėdami vairuoti arba valdyti mechanizmus palaukite, kol regėjimas vėl taps ryškus.</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sudėtyje yra </w:t>
      </w:r>
      <w:proofErr w:type="spellStart"/>
      <w:r w:rsidRPr="00937730">
        <w:t>benzalkonio</w:t>
      </w:r>
      <w:proofErr w:type="spellEnd"/>
      <w:r w:rsidRPr="00937730">
        <w:t xml:space="preserve"> chlorido ir boro</w:t>
      </w:r>
    </w:p>
    <w:p w:rsidR="001B3AEA" w:rsidRPr="00937730" w:rsidRDefault="001B3AEA" w:rsidP="001B3AEA">
      <w:pPr>
        <w:keepNext/>
        <w:keepLines/>
        <w:rPr>
          <w:szCs w:val="22"/>
        </w:rPr>
      </w:pPr>
      <w:proofErr w:type="spellStart"/>
      <w:r w:rsidRPr="00937730">
        <w:rPr>
          <w:szCs w:val="22"/>
        </w:rPr>
        <w:t>Oftan</w:t>
      </w:r>
      <w:proofErr w:type="spellEnd"/>
      <w:r w:rsidRPr="00937730">
        <w:rPr>
          <w:szCs w:val="22"/>
        </w:rPr>
        <w:t> </w:t>
      </w:r>
      <w:proofErr w:type="spellStart"/>
      <w:r w:rsidRPr="00937730">
        <w:rPr>
          <w:szCs w:val="22"/>
        </w:rPr>
        <w:t>Dexa</w:t>
      </w:r>
      <w:proofErr w:type="spellEnd"/>
      <w:r w:rsidRPr="00937730">
        <w:rPr>
          <w:szCs w:val="22"/>
        </w:rPr>
        <w:t xml:space="preserve"> sudėtyje yra konservanto </w:t>
      </w:r>
      <w:proofErr w:type="spellStart"/>
      <w:r w:rsidRPr="00937730">
        <w:rPr>
          <w:szCs w:val="22"/>
        </w:rPr>
        <w:t>benzalkonio</w:t>
      </w:r>
      <w:proofErr w:type="spellEnd"/>
      <w:r w:rsidRPr="00937730">
        <w:rPr>
          <w:szCs w:val="22"/>
        </w:rPr>
        <w:t xml:space="preserve"> chlorido. Kiekviename šio vaisto laše yra maždaug 0,001 mg </w:t>
      </w:r>
      <w:proofErr w:type="spellStart"/>
      <w:r w:rsidRPr="00937730">
        <w:rPr>
          <w:szCs w:val="22"/>
        </w:rPr>
        <w:t>benzalkonio</w:t>
      </w:r>
      <w:proofErr w:type="spellEnd"/>
      <w:r w:rsidRPr="00937730">
        <w:rPr>
          <w:szCs w:val="22"/>
        </w:rPr>
        <w:t xml:space="preserve"> chlorido, tai atitinka 0,04</w:t>
      </w:r>
      <w:r>
        <w:rPr>
          <w:szCs w:val="22"/>
        </w:rPr>
        <w:t> </w:t>
      </w:r>
      <w:r w:rsidRPr="00937730">
        <w:rPr>
          <w:szCs w:val="22"/>
        </w:rPr>
        <w:t xml:space="preserve">mg/ml. </w:t>
      </w:r>
    </w:p>
    <w:p w:rsidR="001B3AEA" w:rsidRPr="00937730" w:rsidRDefault="001B3AEA" w:rsidP="001B3AEA">
      <w:pPr>
        <w:keepNext/>
        <w:keepLines/>
        <w:rPr>
          <w:szCs w:val="22"/>
        </w:rPr>
      </w:pPr>
      <w:r w:rsidRPr="00937730">
        <w:rPr>
          <w:szCs w:val="22"/>
        </w:rPr>
        <w:t xml:space="preserve">Minkštieji kontaktiniai lęšiai gali absorbuoti </w:t>
      </w:r>
      <w:proofErr w:type="spellStart"/>
      <w:r w:rsidRPr="00937730">
        <w:rPr>
          <w:szCs w:val="22"/>
        </w:rPr>
        <w:t>benzalkonio</w:t>
      </w:r>
      <w:proofErr w:type="spellEnd"/>
      <w:r w:rsidRPr="00937730">
        <w:rPr>
          <w:szCs w:val="22"/>
        </w:rPr>
        <w:t xml:space="preserve"> chloridą ir gali pasikeisti kontaktinių lęšių spalva. Prieš šio vaisto vartojimą kontaktinius lęšius reikia išimti ir vėl juos galima įdėti ne anksčiau kaip po 15 min.). </w:t>
      </w:r>
    </w:p>
    <w:p w:rsidR="001B3AEA" w:rsidRPr="00937730" w:rsidRDefault="001B3AEA" w:rsidP="001B3AEA">
      <w:pPr>
        <w:pStyle w:val="Pagrindinistekstas"/>
        <w:spacing w:after="0"/>
        <w:jc w:val="both"/>
        <w:rPr>
          <w:sz w:val="22"/>
          <w:szCs w:val="22"/>
        </w:rPr>
      </w:pPr>
      <w:r w:rsidRPr="00937730">
        <w:rPr>
          <w:sz w:val="22"/>
          <w:szCs w:val="22"/>
        </w:rPr>
        <w:t>Gydant akių uždegimą nerekomenduojama nešioti kontaktinių lęšių (nei minkštų, nei kietų).</w:t>
      </w:r>
    </w:p>
    <w:p w:rsidR="001B3AEA" w:rsidRPr="00937730" w:rsidRDefault="001B3AEA" w:rsidP="001B3AEA">
      <w:pPr>
        <w:pStyle w:val="BTEMEASMCA"/>
        <w:rPr>
          <w:lang w:val="lt-LT"/>
        </w:rPr>
      </w:pPr>
    </w:p>
    <w:p w:rsidR="001B3AEA" w:rsidRDefault="001B3AEA" w:rsidP="001B3AEA">
      <w:pPr>
        <w:tabs>
          <w:tab w:val="left" w:pos="567"/>
        </w:tabs>
        <w:rPr>
          <w:szCs w:val="22"/>
        </w:rPr>
      </w:pPr>
      <w:proofErr w:type="spellStart"/>
      <w:r w:rsidRPr="00937730">
        <w:rPr>
          <w:szCs w:val="22"/>
        </w:rPr>
        <w:t>Benzalkonio</w:t>
      </w:r>
      <w:proofErr w:type="spellEnd"/>
      <w:r w:rsidRPr="00937730">
        <w:rPr>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1B3AEA" w:rsidRDefault="001B3AEA" w:rsidP="001B3AEA">
      <w:pPr>
        <w:tabs>
          <w:tab w:val="left" w:pos="567"/>
        </w:tabs>
        <w:rPr>
          <w:szCs w:val="22"/>
        </w:rPr>
      </w:pPr>
    </w:p>
    <w:p w:rsidR="001B3AEA" w:rsidRDefault="001B3AEA" w:rsidP="001B3AEA">
      <w:pPr>
        <w:tabs>
          <w:tab w:val="left" w:pos="567"/>
        </w:tabs>
        <w:rPr>
          <w:szCs w:val="22"/>
        </w:rPr>
      </w:pPr>
      <w:r w:rsidRPr="00FE230D">
        <w:rPr>
          <w:szCs w:val="22"/>
        </w:rPr>
        <w:t>Kiekviename š</w:t>
      </w:r>
      <w:r>
        <w:rPr>
          <w:szCs w:val="22"/>
        </w:rPr>
        <w:t>io vaisto laše yra maždaug 0,095 </w:t>
      </w:r>
      <w:r w:rsidRPr="00FE230D">
        <w:rPr>
          <w:szCs w:val="22"/>
        </w:rPr>
        <w:t>mg b</w:t>
      </w:r>
      <w:r>
        <w:rPr>
          <w:szCs w:val="22"/>
        </w:rPr>
        <w:t>oro, tai atitinka 2</w:t>
      </w:r>
      <w:r w:rsidRPr="00FE230D">
        <w:rPr>
          <w:szCs w:val="22"/>
        </w:rPr>
        <w:t>,</w:t>
      </w:r>
      <w:r>
        <w:rPr>
          <w:szCs w:val="22"/>
        </w:rPr>
        <w:t>7</w:t>
      </w:r>
      <w:r w:rsidRPr="00FE230D">
        <w:rPr>
          <w:szCs w:val="22"/>
        </w:rPr>
        <w:t>0</w:t>
      </w:r>
      <w:r>
        <w:rPr>
          <w:szCs w:val="22"/>
        </w:rPr>
        <w:t> </w:t>
      </w:r>
      <w:r w:rsidRPr="00FE230D">
        <w:rPr>
          <w:szCs w:val="22"/>
        </w:rPr>
        <w:t>mg/ml.</w:t>
      </w:r>
    </w:p>
    <w:p w:rsidR="001B3AEA" w:rsidRPr="00FE230D" w:rsidRDefault="001B3AEA" w:rsidP="001B3AEA">
      <w:pPr>
        <w:tabs>
          <w:tab w:val="left" w:pos="567"/>
        </w:tabs>
        <w:rPr>
          <w:szCs w:val="22"/>
        </w:rPr>
      </w:pPr>
    </w:p>
    <w:p w:rsidR="001B3AEA" w:rsidRPr="003164C1" w:rsidRDefault="001B3AEA" w:rsidP="001B3AEA">
      <w:pPr>
        <w:pStyle w:val="BTEMEASMCA"/>
        <w:rPr>
          <w:lang w:val="lt-LT"/>
        </w:rPr>
      </w:pPr>
      <w:r w:rsidRPr="003164C1">
        <w:rPr>
          <w:lang w:val="lt-LT"/>
        </w:rPr>
        <w:t>Neduokite jaunesniems kaip 2 metų vaikams, kadangi šio vaisto sudėtyje yra boro, kuris ateityje</w:t>
      </w:r>
    </w:p>
    <w:p w:rsidR="001B3AEA" w:rsidRPr="003164C1" w:rsidRDefault="001B3AEA" w:rsidP="001B3AEA">
      <w:pPr>
        <w:pStyle w:val="BTEMEASMCA"/>
        <w:rPr>
          <w:lang w:val="lt-LT"/>
        </w:rPr>
      </w:pPr>
      <w:r w:rsidRPr="003164C1">
        <w:rPr>
          <w:lang w:val="lt-LT"/>
        </w:rPr>
        <w:t>gali pakenkti vaisingumui.</w:t>
      </w:r>
    </w:p>
    <w:p w:rsidR="001B3AEA" w:rsidRPr="00937730" w:rsidRDefault="001B3AEA" w:rsidP="001B3AEA">
      <w:pPr>
        <w:pStyle w:val="BTEMEASMCA"/>
        <w:rPr>
          <w:lang w:val="lt-LT"/>
        </w:rPr>
      </w:pPr>
    </w:p>
    <w:p w:rsidR="001B3AEA" w:rsidRPr="00937730" w:rsidRDefault="001B3AEA" w:rsidP="001B3AEA">
      <w:pPr>
        <w:pStyle w:val="BTEMEASMCA"/>
        <w:rPr>
          <w:lang w:val="lt-LT"/>
        </w:rPr>
      </w:pPr>
    </w:p>
    <w:p w:rsidR="001B3AEA" w:rsidRPr="00937730" w:rsidRDefault="001B3AEA" w:rsidP="001B3AEA">
      <w:pPr>
        <w:pStyle w:val="BTEMEASMCA"/>
        <w:rPr>
          <w:lang w:val="lt-LT"/>
        </w:rPr>
      </w:pPr>
    </w:p>
    <w:p w:rsidR="001B3AEA" w:rsidRPr="00937730" w:rsidRDefault="001B3AEA" w:rsidP="001B3AEA">
      <w:pPr>
        <w:pStyle w:val="Antrat1"/>
        <w:keepNext/>
      </w:pPr>
      <w:r w:rsidRPr="00937730">
        <w:t>3.</w:t>
      </w:r>
      <w:r w:rsidRPr="00937730">
        <w:tab/>
        <w:t xml:space="preserve">Kaip vartoti </w:t>
      </w:r>
      <w:proofErr w:type="spellStart"/>
      <w:r w:rsidRPr="00937730">
        <w:t>Oftan</w:t>
      </w:r>
      <w:proofErr w:type="spellEnd"/>
      <w:r w:rsidRPr="00937730">
        <w:t xml:space="preserve"> </w:t>
      </w:r>
      <w:proofErr w:type="spellStart"/>
      <w:r w:rsidRPr="00937730">
        <w:t>Dexa</w:t>
      </w:r>
      <w:proofErr w:type="spellEnd"/>
    </w:p>
    <w:p w:rsidR="001B3AEA" w:rsidRPr="00937730" w:rsidRDefault="001B3AEA" w:rsidP="001B3AEA">
      <w:pPr>
        <w:pStyle w:val="BTEMEASMCA"/>
        <w:keepNext/>
        <w:rPr>
          <w:lang w:val="lt-LT"/>
        </w:rPr>
      </w:pPr>
    </w:p>
    <w:p w:rsidR="001B3AEA" w:rsidRPr="00937730" w:rsidRDefault="001B3AEA" w:rsidP="001B3AEA">
      <w:pPr>
        <w:pStyle w:val="BTEMEASMCA"/>
        <w:keepNext/>
        <w:rPr>
          <w:bCs/>
          <w:lang w:val="lt-LT"/>
        </w:rPr>
      </w:pPr>
      <w:r w:rsidRPr="005B5A3D">
        <w:rPr>
          <w:lang w:val="fi-FI"/>
        </w:rPr>
        <w:t>Vaistas skirtas vartoti tik akims.</w:t>
      </w:r>
      <w:r>
        <w:rPr>
          <w:lang w:val="lt-LT"/>
        </w:rPr>
        <w:t xml:space="preserve"> </w:t>
      </w:r>
      <w:r w:rsidRPr="00937730">
        <w:rPr>
          <w:bCs/>
          <w:lang w:val="lt-LT"/>
        </w:rPr>
        <w:t>Visada vartokite šį vaistą tiksliai, kaip nurodė gydytojas arba vaistininkas.</w:t>
      </w:r>
      <w:r w:rsidRPr="00937730">
        <w:rPr>
          <w:lang w:val="lt-LT"/>
        </w:rPr>
        <w:t xml:space="preserve"> Jeigu abejojate, kreipkitės į gydytoją arba vaistininką.</w:t>
      </w:r>
    </w:p>
    <w:p w:rsidR="001B3AEA" w:rsidRPr="00937730" w:rsidRDefault="001B3AEA" w:rsidP="001B3AEA">
      <w:pPr>
        <w:pStyle w:val="BTEMEASMCA"/>
        <w:keepNext/>
        <w:rPr>
          <w:b/>
          <w:lang w:val="lt-LT"/>
        </w:rPr>
      </w:pPr>
    </w:p>
    <w:p w:rsidR="001B3AEA" w:rsidRPr="00937730" w:rsidRDefault="001B3AEA" w:rsidP="001B3AEA">
      <w:pPr>
        <w:pStyle w:val="BTEMEASMCA"/>
        <w:keepNext/>
        <w:rPr>
          <w:b/>
          <w:bCs/>
          <w:lang w:val="lt-LT"/>
        </w:rPr>
      </w:pPr>
      <w:r w:rsidRPr="00937730">
        <w:rPr>
          <w:b/>
          <w:bCs/>
          <w:lang w:val="lt-LT"/>
        </w:rPr>
        <w:t>Suaugusieji</w:t>
      </w:r>
    </w:p>
    <w:p w:rsidR="001B3AEA" w:rsidRPr="00937730" w:rsidRDefault="001B3AEA" w:rsidP="001B3AEA">
      <w:pPr>
        <w:tabs>
          <w:tab w:val="left" w:pos="567"/>
        </w:tabs>
        <w:rPr>
          <w:szCs w:val="22"/>
        </w:rPr>
      </w:pPr>
      <w:r w:rsidRPr="00937730">
        <w:rPr>
          <w:szCs w:val="22"/>
        </w:rPr>
        <w:t>Į akis reikia lašinti po vieną arba du lašus. Ūmios fazės metu rekomenduojama dozė yra pradžioje yra 1–2 lašai kas valandą, po to 4</w:t>
      </w:r>
      <w:r w:rsidRPr="00937730">
        <w:rPr>
          <w:szCs w:val="22"/>
        </w:rPr>
        <w:noBreakHyphen/>
        <w:t>6 kartus per parą.</w:t>
      </w:r>
    </w:p>
    <w:p w:rsidR="001B3AEA" w:rsidRPr="00937730" w:rsidRDefault="001B3AEA" w:rsidP="001B3AEA">
      <w:pPr>
        <w:tabs>
          <w:tab w:val="left" w:pos="567"/>
        </w:tabs>
        <w:rPr>
          <w:szCs w:val="22"/>
        </w:rPr>
      </w:pPr>
    </w:p>
    <w:p w:rsidR="001B3AEA" w:rsidRPr="00937730" w:rsidRDefault="001B3AEA" w:rsidP="001B3AEA">
      <w:pPr>
        <w:tabs>
          <w:tab w:val="left" w:pos="567"/>
        </w:tabs>
        <w:rPr>
          <w:b/>
          <w:bCs/>
          <w:szCs w:val="22"/>
        </w:rPr>
      </w:pPr>
      <w:r w:rsidRPr="00937730">
        <w:rPr>
          <w:b/>
          <w:bCs/>
          <w:szCs w:val="22"/>
        </w:rPr>
        <w:t>Pacientai, sergantys kepenų ar inkstų ligomis</w:t>
      </w:r>
    </w:p>
    <w:p w:rsidR="001B3AEA" w:rsidRPr="00937730" w:rsidRDefault="001B3AEA" w:rsidP="001B3AEA">
      <w:pPr>
        <w:tabs>
          <w:tab w:val="left" w:pos="567"/>
        </w:tabs>
        <w:rPr>
          <w:szCs w:val="22"/>
        </w:rPr>
      </w:pPr>
      <w:proofErr w:type="spellStart"/>
      <w:r w:rsidRPr="00937730">
        <w:rPr>
          <w:szCs w:val="22"/>
        </w:rPr>
        <w:t>Oftan</w:t>
      </w:r>
      <w:proofErr w:type="spellEnd"/>
      <w:r w:rsidRPr="00937730">
        <w:rPr>
          <w:szCs w:val="22"/>
        </w:rPr>
        <w:t xml:space="preserve"> </w:t>
      </w:r>
      <w:proofErr w:type="spellStart"/>
      <w:r w:rsidRPr="00937730">
        <w:rPr>
          <w:szCs w:val="22"/>
        </w:rPr>
        <w:t>Dexa</w:t>
      </w:r>
      <w:proofErr w:type="spellEnd"/>
      <w:r w:rsidRPr="00937730">
        <w:rPr>
          <w:szCs w:val="22"/>
        </w:rPr>
        <w:t xml:space="preserve"> jiems turi būti skiriamas atsargiai. Pasakykite gydytojui, jeigu sergate kepenų ar inkstų liga.</w:t>
      </w:r>
    </w:p>
    <w:p w:rsidR="001B3AEA" w:rsidRPr="00937730" w:rsidRDefault="001B3AEA" w:rsidP="001B3AEA">
      <w:pPr>
        <w:tabs>
          <w:tab w:val="left" w:pos="567"/>
        </w:tabs>
        <w:rPr>
          <w:szCs w:val="22"/>
        </w:rPr>
      </w:pPr>
    </w:p>
    <w:p w:rsidR="001B3AEA" w:rsidRPr="00937730" w:rsidRDefault="001B3AEA" w:rsidP="001B3AEA">
      <w:pPr>
        <w:tabs>
          <w:tab w:val="left" w:pos="567"/>
        </w:tabs>
        <w:rPr>
          <w:b/>
          <w:szCs w:val="22"/>
        </w:rPr>
      </w:pPr>
      <w:r w:rsidRPr="00937730">
        <w:rPr>
          <w:b/>
          <w:szCs w:val="22"/>
        </w:rPr>
        <w:t>Prieš akių lašų vartojimą:</w:t>
      </w:r>
    </w:p>
    <w:p w:rsidR="001B3AEA" w:rsidRPr="00937730" w:rsidRDefault="001B3AEA" w:rsidP="001B3AEA">
      <w:pPr>
        <w:numPr>
          <w:ilvl w:val="0"/>
          <w:numId w:val="2"/>
        </w:numPr>
        <w:tabs>
          <w:tab w:val="left" w:pos="567"/>
        </w:tabs>
        <w:ind w:left="567" w:hanging="567"/>
        <w:rPr>
          <w:szCs w:val="22"/>
        </w:rPr>
      </w:pPr>
      <w:r w:rsidRPr="00937730">
        <w:rPr>
          <w:szCs w:val="22"/>
        </w:rPr>
        <w:t>nusiplaukite rankas;</w:t>
      </w:r>
    </w:p>
    <w:p w:rsidR="001B3AEA" w:rsidRPr="00937730" w:rsidRDefault="001B3AEA" w:rsidP="001B3AEA">
      <w:pPr>
        <w:numPr>
          <w:ilvl w:val="0"/>
          <w:numId w:val="2"/>
        </w:numPr>
        <w:tabs>
          <w:tab w:val="left" w:pos="567"/>
        </w:tabs>
        <w:ind w:left="567" w:hanging="567"/>
        <w:rPr>
          <w:szCs w:val="22"/>
        </w:rPr>
      </w:pPr>
      <w:r w:rsidRPr="00937730">
        <w:rPr>
          <w:szCs w:val="22"/>
        </w:rPr>
        <w:t>priimkite pačią patogiausią padėtį (galite atsigulti ant nugaros, atsisėsti arba atsistoti prieš veidrodį).</w:t>
      </w:r>
    </w:p>
    <w:p w:rsidR="001B3AEA" w:rsidRPr="00937730" w:rsidRDefault="001B3AEA" w:rsidP="001B3AEA">
      <w:pPr>
        <w:tabs>
          <w:tab w:val="left" w:pos="567"/>
        </w:tabs>
        <w:rPr>
          <w:szCs w:val="22"/>
        </w:rPr>
      </w:pPr>
    </w:p>
    <w:p w:rsidR="001B3AEA" w:rsidRPr="00937730" w:rsidRDefault="001B3AEA" w:rsidP="001B3AEA">
      <w:pPr>
        <w:tabs>
          <w:tab w:val="left" w:pos="567"/>
        </w:tabs>
        <w:ind w:left="567" w:hanging="567"/>
        <w:rPr>
          <w:szCs w:val="22"/>
        </w:rPr>
      </w:pPr>
      <w:r w:rsidRPr="00937730">
        <w:rPr>
          <w:b/>
          <w:szCs w:val="22"/>
        </w:rPr>
        <w:t>Vartojimo metodas</w:t>
      </w:r>
    </w:p>
    <w:p w:rsidR="001B3AEA" w:rsidRPr="00937730" w:rsidRDefault="001B3AEA" w:rsidP="001B3AEA">
      <w:pPr>
        <w:pStyle w:val="Sraopastraipa"/>
        <w:ind w:left="0"/>
        <w:rPr>
          <w:szCs w:val="22"/>
        </w:rPr>
      </w:pPr>
      <w:r w:rsidRPr="00937730">
        <w:rPr>
          <w:szCs w:val="22"/>
        </w:rPr>
        <w:t>1. Atsukite buteliuką su lašintuvu. Siekiant išvengti tirpalo užteršimo, su lašintuvo galiuku nieko liesti negalima.</w:t>
      </w:r>
    </w:p>
    <w:p w:rsidR="001B3AEA" w:rsidRPr="00937730" w:rsidRDefault="001B3AEA" w:rsidP="001B3AEA">
      <w:pPr>
        <w:pStyle w:val="Sraopastraipa"/>
        <w:ind w:left="0"/>
        <w:rPr>
          <w:szCs w:val="22"/>
        </w:rPr>
      </w:pPr>
      <w:r w:rsidRPr="00937730">
        <w:rPr>
          <w:szCs w:val="22"/>
        </w:rPr>
        <w:t>2. Atloškite galvą ir laikykite buteliuką virš akies.</w:t>
      </w:r>
    </w:p>
    <w:p w:rsidR="001B3AEA" w:rsidRPr="00937730" w:rsidRDefault="001B3AEA" w:rsidP="001B3AEA">
      <w:pPr>
        <w:rPr>
          <w:szCs w:val="22"/>
        </w:rPr>
      </w:pPr>
    </w:p>
    <w:p w:rsidR="001B3AEA" w:rsidRPr="00937730" w:rsidDel="000A09E6" w:rsidRDefault="001B3AEA" w:rsidP="001B3AEA">
      <w:pPr>
        <w:rPr>
          <w:szCs w:val="22"/>
        </w:rPr>
      </w:pPr>
    </w:p>
    <w:p w:rsidR="001B3AEA" w:rsidRPr="00937730" w:rsidRDefault="001B3AEA" w:rsidP="001B3AEA">
      <w:pPr>
        <w:tabs>
          <w:tab w:val="left" w:pos="567"/>
        </w:tabs>
        <w:ind w:left="567" w:hanging="567"/>
        <w:rPr>
          <w:szCs w:val="22"/>
        </w:rPr>
      </w:pPr>
      <w:r w:rsidRPr="00937730">
        <w:rPr>
          <w:noProof/>
          <w:szCs w:val="22"/>
        </w:rPr>
        <w:drawing>
          <wp:inline distT="0" distB="0" distL="0" distR="0" wp14:anchorId="6DF8FFA1" wp14:editId="0473B4EF">
            <wp:extent cx="1287780" cy="12496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7780" cy="1249680"/>
                    </a:xfrm>
                    <a:prstGeom prst="rect">
                      <a:avLst/>
                    </a:prstGeom>
                    <a:noFill/>
                    <a:ln>
                      <a:noFill/>
                    </a:ln>
                  </pic:spPr>
                </pic:pic>
              </a:graphicData>
            </a:graphic>
          </wp:inline>
        </w:drawing>
      </w:r>
    </w:p>
    <w:p w:rsidR="001B3AEA" w:rsidRPr="00937730" w:rsidRDefault="001B3AEA" w:rsidP="001B3AEA">
      <w:pPr>
        <w:pStyle w:val="Sraopastraipa"/>
        <w:ind w:left="0"/>
        <w:rPr>
          <w:szCs w:val="22"/>
        </w:rPr>
      </w:pPr>
      <w:r w:rsidRPr="00937730">
        <w:rPr>
          <w:szCs w:val="22"/>
        </w:rPr>
        <w:t>3. Patraukite žemyn akies voką ir žiūrėkite aukštyn. Nestipriai paspauskite buteliuką, kol vienas lašas įkris į akį.</w:t>
      </w:r>
    </w:p>
    <w:p w:rsidR="001B3AEA" w:rsidRPr="00937730" w:rsidRDefault="001B3AEA" w:rsidP="001B3AEA">
      <w:pPr>
        <w:ind w:left="357" w:hanging="357"/>
        <w:rPr>
          <w:szCs w:val="22"/>
        </w:rPr>
      </w:pPr>
      <w:r w:rsidRPr="00937730">
        <w:rPr>
          <w:noProof/>
          <w:szCs w:val="22"/>
        </w:rPr>
        <w:drawing>
          <wp:inline distT="0" distB="0" distL="0" distR="0" wp14:anchorId="65F0E899" wp14:editId="66182320">
            <wp:extent cx="14097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9700" cy="1371600"/>
                    </a:xfrm>
                    <a:prstGeom prst="rect">
                      <a:avLst/>
                    </a:prstGeom>
                    <a:noFill/>
                    <a:ln>
                      <a:noFill/>
                    </a:ln>
                  </pic:spPr>
                </pic:pic>
              </a:graphicData>
            </a:graphic>
          </wp:inline>
        </w:drawing>
      </w:r>
    </w:p>
    <w:p w:rsidR="001B3AEA" w:rsidRPr="00937730" w:rsidRDefault="001B3AEA" w:rsidP="001B3AEA">
      <w:pPr>
        <w:rPr>
          <w:szCs w:val="22"/>
        </w:rPr>
      </w:pPr>
      <w:r w:rsidRPr="00937730">
        <w:rPr>
          <w:szCs w:val="22"/>
        </w:rPr>
        <w:t>4. Užsimerkite ir 1 min. rodomuoju pirštu užspauskite vidinį akies kraštą, tai apsaugos nuo tirpalo nutekėjimo ašarų kanalu. Uždarykite buteliuką.</w:t>
      </w:r>
    </w:p>
    <w:p w:rsidR="001B3AEA" w:rsidRPr="00937730" w:rsidRDefault="001B3AEA" w:rsidP="001B3AEA">
      <w:pPr>
        <w:tabs>
          <w:tab w:val="left" w:pos="567"/>
        </w:tabs>
        <w:ind w:left="567" w:hanging="567"/>
        <w:rPr>
          <w:szCs w:val="22"/>
        </w:rPr>
      </w:pPr>
      <w:r w:rsidRPr="00937730">
        <w:rPr>
          <w:noProof/>
          <w:szCs w:val="22"/>
        </w:rPr>
        <w:drawing>
          <wp:inline distT="0" distB="0" distL="0" distR="0" wp14:anchorId="470871E5" wp14:editId="2A062DEB">
            <wp:extent cx="1752600" cy="1409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409700"/>
                    </a:xfrm>
                    <a:prstGeom prst="rect">
                      <a:avLst/>
                    </a:prstGeom>
                    <a:noFill/>
                    <a:ln>
                      <a:noFill/>
                    </a:ln>
                  </pic:spPr>
                </pic:pic>
              </a:graphicData>
            </a:graphic>
          </wp:inline>
        </w:drawing>
      </w:r>
    </w:p>
    <w:p w:rsidR="001B3AEA" w:rsidRPr="00937730" w:rsidRDefault="001B3AEA" w:rsidP="001B3AEA">
      <w:pPr>
        <w:tabs>
          <w:tab w:val="left" w:pos="-1296"/>
          <w:tab w:val="left" w:pos="1"/>
          <w:tab w:val="left" w:pos="1296"/>
          <w:tab w:val="left" w:pos="2592"/>
          <w:tab w:val="left" w:pos="3888"/>
          <w:tab w:val="left" w:pos="5184"/>
          <w:tab w:val="left" w:pos="6480"/>
          <w:tab w:val="left" w:pos="7776"/>
          <w:tab w:val="left" w:pos="9072"/>
        </w:tabs>
        <w:rPr>
          <w:szCs w:val="22"/>
        </w:rPr>
      </w:pPr>
    </w:p>
    <w:p w:rsidR="001B3AEA" w:rsidRPr="00937730" w:rsidRDefault="001B3AEA" w:rsidP="001B3AEA">
      <w:pPr>
        <w:tabs>
          <w:tab w:val="left" w:pos="567"/>
        </w:tabs>
        <w:rPr>
          <w:szCs w:val="22"/>
        </w:rPr>
      </w:pPr>
      <w:r w:rsidRPr="00937730">
        <w:rPr>
          <w:szCs w:val="22"/>
        </w:rPr>
        <w:t>Jei vartojate keletą vaistų, tarp atskirų vaistų lašinimo reikia daryti ne trumpesnę kaip 5 minučių pertrauką.</w:t>
      </w:r>
    </w:p>
    <w:p w:rsidR="001B3AEA" w:rsidRPr="00937730" w:rsidRDefault="001B3AEA" w:rsidP="001B3AEA">
      <w:pPr>
        <w:tabs>
          <w:tab w:val="left" w:pos="567"/>
        </w:tabs>
        <w:rPr>
          <w:szCs w:val="22"/>
        </w:rPr>
      </w:pPr>
    </w:p>
    <w:p w:rsidR="001B3AEA" w:rsidRPr="00937730" w:rsidRDefault="001B3AEA" w:rsidP="001B3AEA">
      <w:pPr>
        <w:tabs>
          <w:tab w:val="left" w:pos="567"/>
        </w:tabs>
        <w:rPr>
          <w:szCs w:val="22"/>
        </w:rPr>
      </w:pPr>
      <w:r w:rsidRPr="00937730">
        <w:rPr>
          <w:szCs w:val="22"/>
        </w:rPr>
        <w:t>Jei vartojami akių lašai ir akių tepalas, tepalą reiktų vartoti vėliausiai.</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r w:rsidRPr="00937730">
        <w:rPr>
          <w:bCs w:val="0"/>
        </w:rPr>
        <w:t xml:space="preserve">Ką daryti </w:t>
      </w:r>
      <w:r w:rsidRPr="00937730">
        <w:t xml:space="preserve">pavartojus per didelę </w:t>
      </w:r>
      <w:proofErr w:type="spellStart"/>
      <w:r w:rsidRPr="00937730">
        <w:t>Oftan</w:t>
      </w:r>
      <w:proofErr w:type="spellEnd"/>
      <w:r w:rsidRPr="00937730">
        <w:t> </w:t>
      </w:r>
      <w:proofErr w:type="spellStart"/>
      <w:r w:rsidRPr="00937730">
        <w:t>Dexa</w:t>
      </w:r>
      <w:proofErr w:type="spellEnd"/>
      <w:r w:rsidRPr="00937730">
        <w:t xml:space="preserve"> dozę?</w:t>
      </w:r>
    </w:p>
    <w:p w:rsidR="001B3AEA" w:rsidRPr="00937730" w:rsidRDefault="001B3AEA" w:rsidP="001B3AEA">
      <w:pPr>
        <w:tabs>
          <w:tab w:val="left" w:pos="567"/>
        </w:tabs>
        <w:rPr>
          <w:szCs w:val="22"/>
        </w:rPr>
      </w:pPr>
      <w:r w:rsidRPr="00937730">
        <w:rPr>
          <w:szCs w:val="22"/>
        </w:rPr>
        <w:t>Perdozuoti neįmanoma, nes lašų lašinama į akį.</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r w:rsidRPr="00937730">
        <w:t xml:space="preserve">Pamiršus pavartoti </w:t>
      </w:r>
      <w:proofErr w:type="spellStart"/>
      <w:r w:rsidRPr="00937730">
        <w:t>Oftan</w:t>
      </w:r>
      <w:proofErr w:type="spellEnd"/>
      <w:r w:rsidRPr="00937730">
        <w:t> </w:t>
      </w:r>
      <w:proofErr w:type="spellStart"/>
      <w:r w:rsidRPr="00937730">
        <w:t>Dexa</w:t>
      </w:r>
      <w:proofErr w:type="spellEnd"/>
    </w:p>
    <w:p w:rsidR="001B3AEA" w:rsidRPr="00937730" w:rsidRDefault="001B3AEA" w:rsidP="001B3AEA">
      <w:pPr>
        <w:pStyle w:val="BTEMEASMCA"/>
        <w:rPr>
          <w:lang w:val="lt-LT"/>
        </w:rPr>
      </w:pPr>
      <w:r w:rsidRPr="00937730">
        <w:rPr>
          <w:lang w:val="lt-LT"/>
        </w:rPr>
        <w:t>Negalima vartoti dvigubos dozės norint kompensuoti praleistą dozę.</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Jeigu kiltų daugiau klausimų dėl šio vaisto vartojimo, kreipkitės į gydytoją arba vaistininką.</w:t>
      </w:r>
    </w:p>
    <w:p w:rsidR="001B3AEA" w:rsidRPr="00937730" w:rsidRDefault="001B3AEA" w:rsidP="001B3AEA">
      <w:pPr>
        <w:pStyle w:val="BTEMEASMCA"/>
        <w:rPr>
          <w:lang w:val="lt-LT"/>
        </w:rPr>
      </w:pPr>
    </w:p>
    <w:p w:rsidR="001B3AEA" w:rsidRPr="00937730" w:rsidRDefault="001B3AEA" w:rsidP="001B3AEA">
      <w:pPr>
        <w:pStyle w:val="BTEMEASMCA"/>
        <w:rPr>
          <w:lang w:val="lt-LT"/>
        </w:rPr>
      </w:pPr>
    </w:p>
    <w:p w:rsidR="001B3AEA" w:rsidRPr="00937730" w:rsidRDefault="001B3AEA" w:rsidP="001B3AEA">
      <w:pPr>
        <w:pStyle w:val="Antrat1"/>
      </w:pPr>
      <w:r w:rsidRPr="00937730">
        <w:t>4.</w:t>
      </w:r>
      <w:r w:rsidRPr="00937730">
        <w:tab/>
        <w:t>Galimas šalutinis poveikis</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Šis vaistas, kaip ir visi kiti, gali sukelti šalutinį poveikį, nors jis pasireiškia ne visiems žmonėms.</w:t>
      </w:r>
    </w:p>
    <w:p w:rsidR="001B3AEA" w:rsidRPr="00937730" w:rsidRDefault="001B3AEA" w:rsidP="001B3AEA">
      <w:pPr>
        <w:pStyle w:val="BTEMEASMCA"/>
        <w:rPr>
          <w:lang w:val="lt-LT"/>
        </w:rPr>
      </w:pPr>
      <w:r w:rsidRPr="00937730">
        <w:rPr>
          <w:lang w:val="lt-LT"/>
        </w:rPr>
        <w:t>Įprastai Oftan Dexa toleruojamas gerai. Įlašinus akių lašų, trumpai gali akyse gali padilgčioti.</w:t>
      </w:r>
    </w:p>
    <w:p w:rsidR="001B3AEA" w:rsidRPr="00937730" w:rsidRDefault="001B3AEA" w:rsidP="001B3AEA">
      <w:pPr>
        <w:pStyle w:val="BTEMEASMCA"/>
        <w:rPr>
          <w:lang w:val="lt-LT"/>
        </w:rPr>
      </w:pPr>
    </w:p>
    <w:p w:rsidR="001B3AEA" w:rsidRPr="00937730" w:rsidRDefault="001B3AEA" w:rsidP="001B3AEA">
      <w:pPr>
        <w:tabs>
          <w:tab w:val="left" w:pos="567"/>
        </w:tabs>
        <w:rPr>
          <w:i/>
          <w:szCs w:val="22"/>
        </w:rPr>
      </w:pPr>
      <w:r w:rsidRPr="00937730">
        <w:rPr>
          <w:i/>
          <w:szCs w:val="22"/>
        </w:rPr>
        <w:t>Dažn</w:t>
      </w:r>
      <w:r>
        <w:rPr>
          <w:i/>
          <w:szCs w:val="22"/>
        </w:rPr>
        <w:t>i</w:t>
      </w:r>
      <w:r w:rsidRPr="00937730">
        <w:rPr>
          <w:i/>
          <w:szCs w:val="22"/>
        </w:rPr>
        <w:t xml:space="preserve"> šalutini</w:t>
      </w:r>
      <w:r>
        <w:rPr>
          <w:i/>
          <w:szCs w:val="22"/>
        </w:rPr>
        <w:t>o</w:t>
      </w:r>
      <w:r w:rsidRPr="00937730">
        <w:rPr>
          <w:i/>
          <w:szCs w:val="22"/>
        </w:rPr>
        <w:t xml:space="preserve"> poveiki</w:t>
      </w:r>
      <w:r>
        <w:rPr>
          <w:i/>
          <w:szCs w:val="22"/>
        </w:rPr>
        <w:t>o reiškiniai</w:t>
      </w:r>
      <w:r w:rsidRPr="00937730">
        <w:rPr>
          <w:i/>
          <w:szCs w:val="22"/>
        </w:rPr>
        <w:t xml:space="preserve"> (gali pasireikšti</w:t>
      </w:r>
      <w:r w:rsidRPr="00ED1B85">
        <w:rPr>
          <w:i/>
          <w:szCs w:val="22"/>
        </w:rPr>
        <w:t xml:space="preserve"> rečiau</w:t>
      </w:r>
      <w:r w:rsidRPr="00937730">
        <w:rPr>
          <w:i/>
          <w:szCs w:val="22"/>
        </w:rPr>
        <w:t xml:space="preserve"> kaip 1 iš 10 </w:t>
      </w:r>
      <w:r>
        <w:rPr>
          <w:i/>
          <w:szCs w:val="22"/>
        </w:rPr>
        <w:t>asmen</w:t>
      </w:r>
      <w:r w:rsidRPr="00937730">
        <w:rPr>
          <w:i/>
          <w:szCs w:val="22"/>
        </w:rPr>
        <w:t>ų):</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akies dirginimas,</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 xml:space="preserve">akies dilgčiojimas, </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 xml:space="preserve">akispūdžio padidėjimas, dėl kurio gali atsirasti glaukoma, </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 xml:space="preserve">akies paviršiaus (ragenos) išopėjimas ar </w:t>
      </w:r>
      <w:proofErr w:type="spellStart"/>
      <w:r w:rsidRPr="00937730">
        <w:rPr>
          <w:iCs/>
          <w:szCs w:val="22"/>
        </w:rPr>
        <w:t>drumstumas</w:t>
      </w:r>
      <w:proofErr w:type="spellEnd"/>
      <w:r w:rsidRPr="00937730">
        <w:rPr>
          <w:iCs/>
          <w:szCs w:val="22"/>
        </w:rPr>
        <w:t xml:space="preserve">, </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 xml:space="preserve">lėtesnis akies paviršiaus (ragenos) gijimas, </w:t>
      </w:r>
    </w:p>
    <w:p w:rsidR="001B3AEA" w:rsidRPr="00937730" w:rsidRDefault="001B3AEA" w:rsidP="001B3AEA">
      <w:pPr>
        <w:pStyle w:val="Sraopastraipa"/>
        <w:numPr>
          <w:ilvl w:val="0"/>
          <w:numId w:val="4"/>
        </w:numPr>
        <w:tabs>
          <w:tab w:val="left" w:pos="567"/>
        </w:tabs>
        <w:ind w:left="567" w:hanging="567"/>
        <w:rPr>
          <w:szCs w:val="22"/>
        </w:rPr>
      </w:pPr>
      <w:r w:rsidRPr="00937730">
        <w:rPr>
          <w:iCs/>
          <w:szCs w:val="22"/>
        </w:rPr>
        <w:t>katarakta (lęšiuko galinės dalies padrumstėjimas, kuris pablogina matymą)</w:t>
      </w:r>
      <w:r w:rsidRPr="00937730">
        <w:rPr>
          <w:szCs w:val="22"/>
        </w:rPr>
        <w:t>.</w:t>
      </w:r>
    </w:p>
    <w:p w:rsidR="001B3AEA" w:rsidRPr="00937730" w:rsidRDefault="001B3AEA" w:rsidP="001B3AEA">
      <w:pPr>
        <w:pStyle w:val="BTEMEASMCA"/>
        <w:rPr>
          <w:lang w:val="lt-LT"/>
        </w:rPr>
      </w:pPr>
    </w:p>
    <w:p w:rsidR="001B3AEA" w:rsidRPr="00937730" w:rsidRDefault="001B3AEA" w:rsidP="001B3AEA">
      <w:pPr>
        <w:pStyle w:val="BTEMEASMCA"/>
        <w:rPr>
          <w:i/>
          <w:lang w:val="lt-LT"/>
        </w:rPr>
      </w:pPr>
      <w:r w:rsidRPr="00937730">
        <w:rPr>
          <w:i/>
          <w:lang w:val="lt-LT"/>
        </w:rPr>
        <w:t>Nedažn</w:t>
      </w:r>
      <w:r>
        <w:rPr>
          <w:i/>
          <w:lang w:val="lt-LT"/>
        </w:rPr>
        <w:t>i</w:t>
      </w:r>
      <w:r w:rsidRPr="00937730">
        <w:rPr>
          <w:i/>
          <w:lang w:val="lt-LT"/>
        </w:rPr>
        <w:t xml:space="preserve"> šalutini</w:t>
      </w:r>
      <w:r>
        <w:rPr>
          <w:i/>
          <w:lang w:val="lt-LT"/>
        </w:rPr>
        <w:t>o</w:t>
      </w:r>
      <w:r w:rsidRPr="00937730">
        <w:rPr>
          <w:i/>
          <w:lang w:val="lt-LT"/>
        </w:rPr>
        <w:t xml:space="preserve"> poveiki</w:t>
      </w:r>
      <w:r>
        <w:rPr>
          <w:i/>
          <w:lang w:val="lt-LT"/>
        </w:rPr>
        <w:t>o reiškiniai</w:t>
      </w:r>
      <w:r w:rsidRPr="00937730">
        <w:rPr>
          <w:i/>
          <w:lang w:val="lt-LT"/>
        </w:rPr>
        <w:t xml:space="preserve"> (gali pasireikšti</w:t>
      </w:r>
      <w:r w:rsidRPr="00ED1B85">
        <w:rPr>
          <w:i/>
          <w:lang w:val="lt-LT"/>
        </w:rPr>
        <w:t xml:space="preserve"> rečiau</w:t>
      </w:r>
      <w:r w:rsidRPr="00937730">
        <w:rPr>
          <w:i/>
          <w:lang w:val="lt-LT"/>
        </w:rPr>
        <w:t xml:space="preserve"> kaip 1 iš 100 </w:t>
      </w:r>
      <w:r>
        <w:rPr>
          <w:i/>
          <w:lang w:val="lt-LT"/>
        </w:rPr>
        <w:t>asmen</w:t>
      </w:r>
      <w:r w:rsidRPr="00937730">
        <w:rPr>
          <w:i/>
          <w:lang w:val="lt-LT"/>
        </w:rPr>
        <w:t>ų):</w:t>
      </w:r>
    </w:p>
    <w:p w:rsidR="001B3AEA" w:rsidRPr="00937730" w:rsidRDefault="001B3AEA" w:rsidP="001B3AEA">
      <w:pPr>
        <w:pStyle w:val="BTEMEASMCA"/>
        <w:numPr>
          <w:ilvl w:val="0"/>
          <w:numId w:val="5"/>
        </w:numPr>
        <w:ind w:left="567" w:hanging="567"/>
        <w:rPr>
          <w:lang w:val="lt-LT"/>
        </w:rPr>
      </w:pPr>
      <w:r w:rsidRPr="00937730">
        <w:rPr>
          <w:lang w:val="lt-LT"/>
        </w:rPr>
        <w:t>antrinė infekcinė liga (padidėjęs mielių ir grybelių dauginimasis).</w:t>
      </w:r>
    </w:p>
    <w:p w:rsidR="001B3AEA" w:rsidRPr="00937730" w:rsidRDefault="001B3AEA" w:rsidP="001B3AEA">
      <w:pPr>
        <w:pStyle w:val="BTEMEASMCA"/>
        <w:rPr>
          <w:lang w:val="lt-LT"/>
        </w:rPr>
      </w:pPr>
    </w:p>
    <w:p w:rsidR="001B3AEA" w:rsidRPr="00937730" w:rsidRDefault="001B3AEA" w:rsidP="001B3AEA">
      <w:pPr>
        <w:pStyle w:val="BTEMEASMCA"/>
        <w:rPr>
          <w:i/>
          <w:lang w:val="lt-LT"/>
        </w:rPr>
      </w:pPr>
      <w:r w:rsidRPr="0027664F">
        <w:rPr>
          <w:i/>
          <w:lang w:val="lt-LT"/>
        </w:rPr>
        <w:t xml:space="preserve">Šalutinio poveikio reiškiniai, kurių </w:t>
      </w:r>
      <w:r w:rsidRPr="00D342BC">
        <w:rPr>
          <w:i/>
          <w:lang w:val="lt-LT"/>
        </w:rPr>
        <w:t>dažnis nežinomas</w:t>
      </w:r>
      <w:r w:rsidRPr="00937730">
        <w:rPr>
          <w:i/>
          <w:lang w:val="lt-LT"/>
        </w:rPr>
        <w:t xml:space="preserve"> (negali būti </w:t>
      </w:r>
      <w:r>
        <w:rPr>
          <w:i/>
          <w:lang w:val="lt-LT"/>
        </w:rPr>
        <w:t>apskaičiuo</w:t>
      </w:r>
      <w:r w:rsidRPr="00937730">
        <w:rPr>
          <w:i/>
          <w:lang w:val="lt-LT"/>
        </w:rPr>
        <w:t>tas pagal turimus duomenis):</w:t>
      </w:r>
    </w:p>
    <w:p w:rsidR="001B3AEA" w:rsidRPr="00937730" w:rsidRDefault="001B3AEA" w:rsidP="001B3AEA">
      <w:pPr>
        <w:pStyle w:val="BTEMEASMCA"/>
        <w:numPr>
          <w:ilvl w:val="0"/>
          <w:numId w:val="5"/>
        </w:numPr>
        <w:ind w:left="567" w:hanging="567"/>
        <w:rPr>
          <w:lang w:val="lt-LT"/>
        </w:rPr>
      </w:pPr>
      <w:r w:rsidRPr="00937730">
        <w:rPr>
          <w:lang w:val="lt-LT"/>
        </w:rPr>
        <w:t xml:space="preserve">akies paviršiaus (ragenos) suplonėjimas ir prakiurimas, </w:t>
      </w:r>
    </w:p>
    <w:p w:rsidR="001B3AEA" w:rsidRPr="00937730" w:rsidRDefault="001B3AEA" w:rsidP="001B3AEA">
      <w:pPr>
        <w:pStyle w:val="BTEMEASMCA"/>
        <w:numPr>
          <w:ilvl w:val="0"/>
          <w:numId w:val="5"/>
        </w:numPr>
        <w:ind w:left="567" w:hanging="567"/>
        <w:rPr>
          <w:lang w:val="lt-LT"/>
        </w:rPr>
      </w:pPr>
      <w:r w:rsidRPr="00937730">
        <w:rPr>
          <w:lang w:val="lt-LT"/>
        </w:rPr>
        <w:t xml:space="preserve">baltosios akies dalies (skleros) suplonėjimas, </w:t>
      </w:r>
    </w:p>
    <w:p w:rsidR="001B3AEA" w:rsidRPr="00937730" w:rsidRDefault="001B3AEA" w:rsidP="001B3AEA">
      <w:pPr>
        <w:pStyle w:val="BTEMEASMCA"/>
        <w:numPr>
          <w:ilvl w:val="0"/>
          <w:numId w:val="5"/>
        </w:numPr>
        <w:ind w:left="567" w:hanging="567"/>
        <w:rPr>
          <w:lang w:val="lt-LT"/>
        </w:rPr>
      </w:pPr>
      <w:r w:rsidRPr="00937730">
        <w:rPr>
          <w:lang w:val="lt-LT"/>
        </w:rPr>
        <w:t xml:space="preserve">vidinių akies sluoksnių uždegimas, </w:t>
      </w:r>
    </w:p>
    <w:p w:rsidR="001B3AEA" w:rsidRPr="00937730" w:rsidRDefault="001B3AEA" w:rsidP="001B3AEA">
      <w:pPr>
        <w:pStyle w:val="BTEMEASMCA"/>
        <w:numPr>
          <w:ilvl w:val="0"/>
          <w:numId w:val="5"/>
        </w:numPr>
        <w:ind w:left="567" w:hanging="567"/>
        <w:rPr>
          <w:lang w:val="lt-LT"/>
        </w:rPr>
      </w:pPr>
      <w:r w:rsidRPr="00937730">
        <w:rPr>
          <w:lang w:val="lt-LT"/>
        </w:rPr>
        <w:t xml:space="preserve">vyzdžio išsiplėtimas, </w:t>
      </w:r>
    </w:p>
    <w:p w:rsidR="001B3AEA" w:rsidRDefault="001B3AEA" w:rsidP="001B3AEA">
      <w:pPr>
        <w:pStyle w:val="BTEMEASMCA"/>
        <w:numPr>
          <w:ilvl w:val="0"/>
          <w:numId w:val="5"/>
        </w:numPr>
        <w:ind w:left="567" w:hanging="567"/>
        <w:rPr>
          <w:lang w:val="lt-LT"/>
        </w:rPr>
      </w:pPr>
      <w:r w:rsidRPr="00937730">
        <w:rPr>
          <w:lang w:val="lt-LT"/>
        </w:rPr>
        <w:t>voko nukritimas,</w:t>
      </w:r>
    </w:p>
    <w:p w:rsidR="001B3AEA" w:rsidRPr="00937730" w:rsidRDefault="001B3AEA" w:rsidP="001B3AEA">
      <w:pPr>
        <w:pStyle w:val="BTEMEASMCA"/>
        <w:numPr>
          <w:ilvl w:val="0"/>
          <w:numId w:val="5"/>
        </w:numPr>
        <w:ind w:left="567" w:hanging="567"/>
        <w:rPr>
          <w:lang w:val="lt-LT"/>
        </w:rPr>
      </w:pPr>
      <w:r w:rsidRPr="00800389">
        <w:rPr>
          <w:lang w:val="lt-LT"/>
        </w:rPr>
        <w:t>miglotas matymas</w:t>
      </w:r>
      <w:r>
        <w:rPr>
          <w:lang w:val="lt-LT"/>
        </w:rPr>
        <w:t>,</w:t>
      </w:r>
    </w:p>
    <w:p w:rsidR="001B3AEA" w:rsidRPr="00937730" w:rsidRDefault="001B3AEA" w:rsidP="001B3AEA">
      <w:pPr>
        <w:numPr>
          <w:ilvl w:val="0"/>
          <w:numId w:val="5"/>
        </w:numPr>
        <w:tabs>
          <w:tab w:val="left" w:pos="567"/>
        </w:tabs>
        <w:ind w:left="567" w:hanging="567"/>
        <w:rPr>
          <w:szCs w:val="22"/>
        </w:rPr>
      </w:pPr>
      <w:r w:rsidRPr="00937730">
        <w:rPr>
          <w:szCs w:val="22"/>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937730">
        <w:rPr>
          <w:szCs w:val="22"/>
        </w:rPr>
        <w:t>Kušingo</w:t>
      </w:r>
      <w:proofErr w:type="spellEnd"/>
      <w:r w:rsidRPr="00937730">
        <w:rPr>
          <w:szCs w:val="22"/>
        </w:rPr>
        <w:t xml:space="preserve"> sindromas).</w:t>
      </w:r>
    </w:p>
    <w:p w:rsidR="001B3AEA" w:rsidRPr="00937730" w:rsidRDefault="001B3AEA" w:rsidP="001B3AEA">
      <w:pPr>
        <w:pStyle w:val="BTEMEASMCA"/>
        <w:rPr>
          <w:lang w:val="lt-LT"/>
        </w:rPr>
      </w:pPr>
    </w:p>
    <w:p w:rsidR="001B3AEA" w:rsidRPr="00937730" w:rsidRDefault="001B3AEA" w:rsidP="001B3AEA">
      <w:pPr>
        <w:tabs>
          <w:tab w:val="left" w:pos="567"/>
        </w:tabs>
        <w:rPr>
          <w:b/>
          <w:snapToGrid w:val="0"/>
          <w:szCs w:val="22"/>
          <w:lang w:eastAsia="en-US"/>
        </w:rPr>
      </w:pPr>
      <w:bookmarkStart w:id="0" w:name="OLE_LINK18"/>
      <w:r w:rsidRPr="00937730">
        <w:rPr>
          <w:b/>
          <w:noProof/>
          <w:snapToGrid w:val="0"/>
          <w:szCs w:val="22"/>
          <w:lang w:eastAsia="en-US"/>
        </w:rPr>
        <w:t>Pranešimas apie šalutinį poveikį</w:t>
      </w:r>
    </w:p>
    <w:p w:rsidR="001B3AEA" w:rsidRPr="00937730" w:rsidRDefault="001B3AEA" w:rsidP="001B3AEA">
      <w:pPr>
        <w:tabs>
          <w:tab w:val="left" w:pos="567"/>
        </w:tabs>
        <w:spacing w:line="260" w:lineRule="exact"/>
        <w:ind w:right="-449"/>
        <w:rPr>
          <w:noProof/>
          <w:snapToGrid w:val="0"/>
          <w:szCs w:val="22"/>
          <w:lang w:eastAsia="en-US"/>
        </w:rPr>
      </w:pPr>
      <w:r w:rsidRPr="00937730">
        <w:rPr>
          <w:snapToGrid w:val="0"/>
          <w:szCs w:val="22"/>
          <w:lang w:eastAsia="en-US"/>
        </w:rPr>
        <w:t>Jeigu pasireiškė šalutinis poveikis, įskaitant šiame lapelyje nenurodytą, pasakykite gydytojui</w:t>
      </w:r>
      <w:r>
        <w:rPr>
          <w:snapToGrid w:val="0"/>
          <w:szCs w:val="22"/>
          <w:lang w:eastAsia="en-US"/>
        </w:rPr>
        <w:t>,</w:t>
      </w:r>
      <w:r w:rsidRPr="00937730">
        <w:rPr>
          <w:snapToGrid w:val="0"/>
          <w:szCs w:val="22"/>
          <w:lang w:eastAsia="en-US"/>
        </w:rPr>
        <w:t xml:space="preserve"> vaistininkui arba slaugytojui. </w:t>
      </w:r>
      <w:bookmarkStart w:id="1" w:name="_Hlk96371608"/>
      <w:r w:rsidRPr="0027664F">
        <w:rPr>
          <w:snapToGrid w:val="0"/>
          <w:szCs w:val="22"/>
          <w:lang w:eastAsia="en-US"/>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27664F">
        <w:rPr>
          <w:snapToGrid w:val="0"/>
          <w:szCs w:val="22"/>
          <w:lang w:eastAsia="en-US"/>
        </w:rPr>
        <w:t>NepageidaujamaR@vvkt.lt</w:t>
      </w:r>
      <w:proofErr w:type="spellEnd"/>
      <w:r w:rsidRPr="0027664F">
        <w:rPr>
          <w:snapToGrid w:val="0"/>
          <w:szCs w:val="22"/>
          <w:lang w:eastAsia="en-US"/>
        </w:rPr>
        <w:t xml:space="preserve">) arba nemokamu telefonu 8 800 73 568. </w:t>
      </w:r>
      <w:bookmarkEnd w:id="1"/>
      <w:r w:rsidRPr="00937730">
        <w:rPr>
          <w:snapToGrid w:val="0"/>
          <w:szCs w:val="22"/>
          <w:lang w:eastAsia="en-US"/>
        </w:rPr>
        <w:t>Pranešdami apie šalutinį poveikį galite mums padėti gauti daugiau informacijos apie šio vaisto saugumą.</w:t>
      </w:r>
    </w:p>
    <w:p w:rsidR="001B3AEA" w:rsidRPr="00937730" w:rsidRDefault="001B3AEA" w:rsidP="001B3AEA">
      <w:pPr>
        <w:pStyle w:val="BTEMEASMCA"/>
        <w:rPr>
          <w:lang w:val="lt-LT"/>
        </w:rPr>
      </w:pPr>
    </w:p>
    <w:bookmarkEnd w:id="0"/>
    <w:p w:rsidR="001B3AEA" w:rsidRPr="00937730" w:rsidRDefault="001B3AEA" w:rsidP="001B3AEA">
      <w:pPr>
        <w:pStyle w:val="BTEMEASMCA"/>
        <w:rPr>
          <w:lang w:val="lt-LT"/>
        </w:rPr>
      </w:pPr>
    </w:p>
    <w:p w:rsidR="001B3AEA" w:rsidRPr="00937730" w:rsidRDefault="001B3AEA" w:rsidP="001B3AEA">
      <w:pPr>
        <w:pStyle w:val="Antrat1"/>
        <w:keepNext/>
      </w:pPr>
      <w:r w:rsidRPr="00937730">
        <w:t>5.</w:t>
      </w:r>
      <w:r w:rsidRPr="00937730">
        <w:tab/>
        <w:t>Kaip laikyti</w:t>
      </w:r>
      <w:r w:rsidRPr="00937730">
        <w:rPr>
          <w:caps/>
        </w:rPr>
        <w:t xml:space="preserve"> </w:t>
      </w:r>
      <w:proofErr w:type="spellStart"/>
      <w:r w:rsidRPr="00937730">
        <w:t>Oftan</w:t>
      </w:r>
      <w:proofErr w:type="spellEnd"/>
      <w:r w:rsidRPr="00937730">
        <w:t> </w:t>
      </w:r>
      <w:proofErr w:type="spellStart"/>
      <w:r w:rsidRPr="00937730">
        <w:t>Dexa</w:t>
      </w:r>
      <w:proofErr w:type="spellEnd"/>
    </w:p>
    <w:p w:rsidR="001B3AEA" w:rsidRPr="00937730" w:rsidRDefault="001B3AEA" w:rsidP="001B3AEA">
      <w:pPr>
        <w:pStyle w:val="BTEMEASMCA"/>
        <w:keepNext/>
        <w:rPr>
          <w:lang w:val="lt-LT"/>
        </w:rPr>
      </w:pPr>
    </w:p>
    <w:p w:rsidR="001B3AEA" w:rsidRPr="00937730" w:rsidRDefault="001B3AEA" w:rsidP="001B3AEA">
      <w:pPr>
        <w:pStyle w:val="BTEMEASMCA"/>
        <w:rPr>
          <w:lang w:val="lt-LT"/>
        </w:rPr>
      </w:pPr>
      <w:r w:rsidRPr="00937730">
        <w:rPr>
          <w:lang w:val="lt-LT"/>
        </w:rPr>
        <w:t>Šį vaistą laikykite vaikams nepastebimoje ir nepasiekiamoje vietoje.</w:t>
      </w:r>
    </w:p>
    <w:p w:rsidR="001B3AEA" w:rsidRPr="00937730" w:rsidRDefault="001B3AEA" w:rsidP="001B3AEA">
      <w:pPr>
        <w:pStyle w:val="BTEMEASMCA"/>
        <w:rPr>
          <w:lang w:val="lt-LT"/>
        </w:rPr>
      </w:pPr>
      <w:r w:rsidRPr="00937730">
        <w:rPr>
          <w:lang w:val="lt-LT"/>
        </w:rPr>
        <w:lastRenderedPageBreak/>
        <w:t>Laikyti šaldytuve (2 </w:t>
      </w:r>
      <w:r w:rsidRPr="00937730">
        <w:rPr>
          <w:lang w:val="lt-LT"/>
        </w:rPr>
        <w:sym w:font="Symbol" w:char="F0B0"/>
      </w:r>
      <w:r w:rsidRPr="00937730">
        <w:rPr>
          <w:lang w:val="lt-LT"/>
        </w:rPr>
        <w:t>C–8 </w:t>
      </w:r>
      <w:r w:rsidRPr="00937730">
        <w:rPr>
          <w:lang w:val="lt-LT"/>
        </w:rPr>
        <w:sym w:font="Symbol" w:char="F0B0"/>
      </w:r>
      <w:r w:rsidRPr="00937730">
        <w:rPr>
          <w:lang w:val="lt-LT"/>
        </w:rPr>
        <w:t xml:space="preserve">C). </w:t>
      </w:r>
    </w:p>
    <w:p w:rsidR="001B3AEA" w:rsidRPr="00937730" w:rsidRDefault="001B3AEA" w:rsidP="001B3AEA">
      <w:pPr>
        <w:tabs>
          <w:tab w:val="left" w:pos="567"/>
        </w:tabs>
        <w:rPr>
          <w:szCs w:val="22"/>
        </w:rPr>
      </w:pPr>
      <w:r w:rsidRPr="00937730">
        <w:rPr>
          <w:szCs w:val="22"/>
        </w:rPr>
        <w:t>Buteliuką laikyti išorinėje dėžutėje, kad vaistas būtų apsaugotas nuo šviesos.</w:t>
      </w:r>
    </w:p>
    <w:p w:rsidR="001B3AEA" w:rsidRPr="00937730" w:rsidRDefault="001B3AEA" w:rsidP="001B3AEA">
      <w:pPr>
        <w:pStyle w:val="BTEMEASMCA"/>
        <w:rPr>
          <w:lang w:val="lt-LT"/>
        </w:rPr>
      </w:pPr>
      <w:r w:rsidRPr="00937730">
        <w:rPr>
          <w:lang w:val="lt-LT"/>
        </w:rPr>
        <w:t>Ant dėžutės ir buteliuko po „EXP“ nurodytam tinkamumo laikui pasibaigus, šio vaisto vartoti negalima. Vaistas tinkamas vartoti iki paskutinės nurodyto mėnesio dienos.</w:t>
      </w:r>
    </w:p>
    <w:p w:rsidR="001B3AEA" w:rsidRPr="00937730" w:rsidRDefault="001B3AEA" w:rsidP="001B3AEA">
      <w:pPr>
        <w:pStyle w:val="BTEMEASMCA"/>
        <w:rPr>
          <w:lang w:val="lt-LT"/>
        </w:rPr>
      </w:pPr>
      <w:r w:rsidRPr="00937730">
        <w:rPr>
          <w:lang w:val="lt-LT"/>
        </w:rPr>
        <w:t>Pirmą kartą atidarius buteliuką, vaisto tinkamumo laikas yra 28 dienos. Atidarytas buteliukas gali būti laikomas žemesnėje kaip 25 </w:t>
      </w:r>
      <w:r w:rsidRPr="00937730">
        <w:sym w:font="Symbol" w:char="F0B0"/>
      </w:r>
      <w:r w:rsidRPr="00937730">
        <w:rPr>
          <w:lang w:val="lt-LT"/>
        </w:rPr>
        <w:t xml:space="preserve">C temperatūroje. </w:t>
      </w:r>
    </w:p>
    <w:p w:rsidR="001B3AEA" w:rsidRPr="00937730" w:rsidRDefault="001B3AEA" w:rsidP="001B3AEA">
      <w:pPr>
        <w:pStyle w:val="BTEMEASMCA"/>
        <w:rPr>
          <w:lang w:val="lt-LT"/>
        </w:rPr>
      </w:pPr>
      <w:r w:rsidRPr="00937730">
        <w:rPr>
          <w:lang w:val="lt-LT"/>
        </w:rPr>
        <w:t>Praėjus 28 dienoms po buteliuko atidarymo, sunaikinkite jį su visu jame likusiu turiniu.</w:t>
      </w:r>
    </w:p>
    <w:p w:rsidR="001B3AEA" w:rsidRPr="00937730" w:rsidRDefault="001B3AEA" w:rsidP="001B3AEA">
      <w:pPr>
        <w:pStyle w:val="BTEMEASMCA"/>
        <w:rPr>
          <w:noProof w:val="0"/>
          <w:lang w:val="lt-LT"/>
        </w:rPr>
      </w:pPr>
    </w:p>
    <w:p w:rsidR="001B3AEA" w:rsidRPr="00937730" w:rsidRDefault="001B3AEA" w:rsidP="001B3AEA">
      <w:pPr>
        <w:pStyle w:val="BTEMEASMCA"/>
        <w:rPr>
          <w:lang w:val="lt-LT"/>
        </w:rPr>
      </w:pPr>
      <w:r w:rsidRPr="00937730">
        <w:rPr>
          <w:lang w:val="lt-LT"/>
        </w:rPr>
        <w:t>Vaistų negalima išmesti į kanalizaciją arba su buitinėmis atliekomis. Kaip išmesti nereikalingus vaistus, klauskite vaistininko. Šios priemonės padės apsaugoti aplinką.</w:t>
      </w:r>
    </w:p>
    <w:p w:rsidR="001B3AEA" w:rsidRPr="00937730" w:rsidRDefault="001B3AEA" w:rsidP="001B3AEA">
      <w:pPr>
        <w:pStyle w:val="BTEMEASMCA"/>
        <w:rPr>
          <w:lang w:val="lt-LT"/>
        </w:rPr>
      </w:pPr>
    </w:p>
    <w:p w:rsidR="001B3AEA" w:rsidRPr="00937730" w:rsidRDefault="001B3AEA" w:rsidP="001B3AEA">
      <w:pPr>
        <w:pStyle w:val="BTEMEASMCA"/>
        <w:rPr>
          <w:lang w:val="lt-LT"/>
        </w:rPr>
      </w:pPr>
    </w:p>
    <w:p w:rsidR="001B3AEA" w:rsidRPr="00937730" w:rsidRDefault="001B3AEA" w:rsidP="001B3AEA">
      <w:pPr>
        <w:pStyle w:val="Antrat1"/>
      </w:pPr>
      <w:r w:rsidRPr="00937730">
        <w:t>6.</w:t>
      </w:r>
      <w:r w:rsidRPr="00937730">
        <w:tab/>
        <w:t>Pakuotės turinys ir kita informacija</w:t>
      </w:r>
    </w:p>
    <w:p w:rsidR="001B3AEA" w:rsidRPr="00937730" w:rsidRDefault="001B3AEA" w:rsidP="001B3AEA">
      <w:pPr>
        <w:pStyle w:val="PI-1EMEASMCA"/>
      </w:pPr>
    </w:p>
    <w:p w:rsidR="001B3AEA" w:rsidRPr="00937730" w:rsidRDefault="001B3AEA" w:rsidP="001B3AEA">
      <w:pPr>
        <w:pStyle w:val="PI-3EMEASMCA"/>
        <w:spacing w:line="240" w:lineRule="auto"/>
      </w:pPr>
      <w:proofErr w:type="spellStart"/>
      <w:r w:rsidRPr="00937730">
        <w:t>Oftan</w:t>
      </w:r>
      <w:proofErr w:type="spellEnd"/>
      <w:r w:rsidRPr="00937730">
        <w:t> </w:t>
      </w:r>
      <w:proofErr w:type="spellStart"/>
      <w:r w:rsidRPr="00937730">
        <w:t>Dexa</w:t>
      </w:r>
      <w:proofErr w:type="spellEnd"/>
      <w:r w:rsidRPr="00937730">
        <w:t xml:space="preserve"> sudėtis</w:t>
      </w:r>
    </w:p>
    <w:p w:rsidR="001B3AEA" w:rsidRPr="00937730" w:rsidRDefault="001B3AEA" w:rsidP="001B3AEA">
      <w:pPr>
        <w:pStyle w:val="BT-EMEASMCA"/>
        <w:tabs>
          <w:tab w:val="num" w:pos="720"/>
        </w:tabs>
        <w:rPr>
          <w:lang w:val="lt-LT"/>
        </w:rPr>
      </w:pPr>
      <w:r w:rsidRPr="00937730">
        <w:rPr>
          <w:lang w:val="lt-LT"/>
        </w:rPr>
        <w:t>Veiklioji medžiaga yra deksametazonas. 1 ml tirpalo yra 1 mg deksametazono (1,32 mg deksametazono natrio fosfato pavidalu).</w:t>
      </w:r>
    </w:p>
    <w:p w:rsidR="001B3AEA" w:rsidRPr="00937730" w:rsidRDefault="001B3AEA" w:rsidP="001B3AEA">
      <w:pPr>
        <w:pStyle w:val="BT-EMEASMCA"/>
        <w:tabs>
          <w:tab w:val="num" w:pos="720"/>
        </w:tabs>
        <w:rPr>
          <w:lang w:val="lt-LT"/>
        </w:rPr>
      </w:pPr>
      <w:r w:rsidRPr="00937730">
        <w:rPr>
          <w:lang w:val="lt-LT"/>
        </w:rPr>
        <w:t>Pagalbinės medžiagos yra benzalkonio chloridas, boro rūgštis, boraksas, dinatrio edetatas ir injekcinis vanduo.</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Taip pat žiūrėkite 2 skyriuje „Oftan Dexa sudėtyje yra benzalkonio chlorido ir boro“.</w:t>
      </w:r>
    </w:p>
    <w:p w:rsidR="001B3AEA" w:rsidRPr="00937730" w:rsidRDefault="001B3AEA" w:rsidP="001B3AEA">
      <w:pPr>
        <w:pStyle w:val="BTEMEASMCA"/>
        <w:rPr>
          <w:lang w:val="lt-LT"/>
        </w:rPr>
      </w:pPr>
    </w:p>
    <w:p w:rsidR="001B3AEA" w:rsidRPr="00937730" w:rsidRDefault="001B3AEA" w:rsidP="001B3AEA">
      <w:pPr>
        <w:pStyle w:val="BTEMEASMCA"/>
        <w:rPr>
          <w:b/>
          <w:lang w:val="lt-LT"/>
        </w:rPr>
      </w:pPr>
      <w:r w:rsidRPr="00937730">
        <w:rPr>
          <w:b/>
          <w:lang w:val="lt-LT"/>
        </w:rPr>
        <w:t xml:space="preserve">Oftan Dexa išvaizda ir kiekis pakuotėje </w:t>
      </w:r>
    </w:p>
    <w:p w:rsidR="001B3AEA" w:rsidRPr="00937730" w:rsidRDefault="001B3AEA" w:rsidP="001B3AEA">
      <w:pPr>
        <w:pStyle w:val="BTEMEASMCA"/>
        <w:rPr>
          <w:noProof w:val="0"/>
          <w:u w:val="single"/>
          <w:lang w:val="lt-LT"/>
        </w:rPr>
      </w:pPr>
      <w:r w:rsidRPr="00937730">
        <w:rPr>
          <w:lang w:val="lt-LT"/>
        </w:rPr>
        <w:t>Oftan Dexa yra skaidrus, bespalvis tirpalas.</w:t>
      </w:r>
    </w:p>
    <w:p w:rsidR="001B3AEA" w:rsidRPr="00937730" w:rsidRDefault="001B3AEA" w:rsidP="001B3AEA">
      <w:pPr>
        <w:tabs>
          <w:tab w:val="left" w:pos="567"/>
        </w:tabs>
        <w:rPr>
          <w:szCs w:val="22"/>
        </w:rPr>
      </w:pPr>
      <w:r w:rsidRPr="00937730">
        <w:rPr>
          <w:szCs w:val="22"/>
        </w:rPr>
        <w:t>Jis tiekiamas permatomame plastiko (MTPE) buteliuke su plastiko lašintuvu, užsuktu plastiko (DTPE) dangteliu (trijų dalių buteliukas) arba permatomame plastiko (MTPE) buteliuke užsuktame (DTPE) dangteliu („</w:t>
      </w:r>
      <w:proofErr w:type="spellStart"/>
      <w:r w:rsidRPr="00937730">
        <w:rPr>
          <w:szCs w:val="22"/>
        </w:rPr>
        <w:t>Bottle</w:t>
      </w:r>
      <w:proofErr w:type="spellEnd"/>
      <w:r w:rsidRPr="00937730">
        <w:rPr>
          <w:szCs w:val="22"/>
        </w:rPr>
        <w:t xml:space="preserve"> </w:t>
      </w:r>
      <w:proofErr w:type="spellStart"/>
      <w:r w:rsidRPr="00937730">
        <w:rPr>
          <w:szCs w:val="22"/>
        </w:rPr>
        <w:t>pack</w:t>
      </w:r>
      <w:proofErr w:type="spellEnd"/>
      <w:r w:rsidRPr="00937730">
        <w:rPr>
          <w:szCs w:val="22"/>
        </w:rPr>
        <w:t xml:space="preserve">“ tipo buteliukas). </w:t>
      </w:r>
    </w:p>
    <w:p w:rsidR="001B3AEA" w:rsidRPr="00937730" w:rsidRDefault="001B3AEA" w:rsidP="001B3AEA">
      <w:pPr>
        <w:tabs>
          <w:tab w:val="left" w:pos="567"/>
        </w:tabs>
        <w:rPr>
          <w:szCs w:val="22"/>
        </w:rPr>
      </w:pPr>
      <w:r w:rsidRPr="00937730">
        <w:rPr>
          <w:szCs w:val="22"/>
        </w:rPr>
        <w:t>Buteliuke yra 5 ml tirpalo.</w:t>
      </w:r>
    </w:p>
    <w:p w:rsidR="001B3AEA" w:rsidRPr="00937730" w:rsidRDefault="001B3AEA" w:rsidP="001B3AEA">
      <w:pPr>
        <w:pStyle w:val="BTEMEASMCA"/>
        <w:rPr>
          <w:lang w:val="lt-LT"/>
        </w:rPr>
      </w:pPr>
    </w:p>
    <w:p w:rsidR="001B3AEA" w:rsidRPr="00937730" w:rsidRDefault="001B3AEA" w:rsidP="001B3AEA">
      <w:pPr>
        <w:pStyle w:val="PI-3EMEASMCA"/>
        <w:spacing w:line="240" w:lineRule="auto"/>
      </w:pPr>
      <w:r w:rsidRPr="00937730">
        <w:rPr>
          <w:noProof/>
        </w:rPr>
        <w:t>Registruotojas</w:t>
      </w:r>
      <w:r w:rsidRPr="00937730">
        <w:rPr>
          <w:b w:val="0"/>
          <w:bCs w:val="0"/>
          <w:noProof/>
        </w:rPr>
        <w:t xml:space="preserve"> </w:t>
      </w:r>
    </w:p>
    <w:p w:rsidR="001B3AEA" w:rsidRPr="00937730" w:rsidRDefault="001B3AEA" w:rsidP="001B3AEA">
      <w:pPr>
        <w:tabs>
          <w:tab w:val="left" w:pos="567"/>
        </w:tabs>
        <w:rPr>
          <w:szCs w:val="22"/>
        </w:rPr>
      </w:pP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r w:rsidRPr="00937730">
        <w:rPr>
          <w:szCs w:val="22"/>
        </w:rPr>
        <w:t xml:space="preserve"> </w:t>
      </w:r>
    </w:p>
    <w:p w:rsidR="001B3AEA" w:rsidRPr="00937730" w:rsidRDefault="001B3AEA" w:rsidP="001B3AEA">
      <w:pPr>
        <w:tabs>
          <w:tab w:val="left" w:pos="567"/>
        </w:tabs>
        <w:rPr>
          <w:szCs w:val="22"/>
        </w:rPr>
      </w:pPr>
      <w:proofErr w:type="spellStart"/>
      <w:r w:rsidRPr="00937730">
        <w:rPr>
          <w:szCs w:val="22"/>
        </w:rPr>
        <w:t>Niittyhaankatu</w:t>
      </w:r>
      <w:proofErr w:type="spellEnd"/>
      <w:r w:rsidRPr="00937730">
        <w:rPr>
          <w:szCs w:val="22"/>
        </w:rPr>
        <w:t xml:space="preserve"> 20</w:t>
      </w:r>
    </w:p>
    <w:p w:rsidR="001B3AEA" w:rsidRPr="00937730" w:rsidRDefault="001B3AEA" w:rsidP="001B3AEA">
      <w:pPr>
        <w:tabs>
          <w:tab w:val="left" w:pos="567"/>
        </w:tabs>
        <w:rPr>
          <w:szCs w:val="22"/>
        </w:rPr>
      </w:pPr>
      <w:r w:rsidRPr="00937730">
        <w:rPr>
          <w:szCs w:val="22"/>
        </w:rPr>
        <w:t xml:space="preserve">33720 </w:t>
      </w:r>
      <w:proofErr w:type="spellStart"/>
      <w:r w:rsidRPr="00937730">
        <w:rPr>
          <w:szCs w:val="22"/>
        </w:rPr>
        <w:t>Tampere</w:t>
      </w:r>
      <w:proofErr w:type="spellEnd"/>
    </w:p>
    <w:p w:rsidR="001B3AEA" w:rsidRPr="00937730" w:rsidRDefault="001B3AEA" w:rsidP="001B3AEA">
      <w:pPr>
        <w:pStyle w:val="BTEMEASMCA"/>
        <w:rPr>
          <w:lang w:val="lt-LT"/>
        </w:rPr>
      </w:pPr>
      <w:r w:rsidRPr="00937730">
        <w:rPr>
          <w:lang w:val="lt-LT"/>
        </w:rPr>
        <w:t>Suomija</w:t>
      </w:r>
    </w:p>
    <w:p w:rsidR="001B3AEA" w:rsidRPr="00937730" w:rsidRDefault="001B3AEA" w:rsidP="001B3AEA">
      <w:pPr>
        <w:pStyle w:val="BTEMEASMCA"/>
        <w:rPr>
          <w:noProof w:val="0"/>
          <w:lang w:val="lt-LT"/>
        </w:rPr>
      </w:pPr>
    </w:p>
    <w:p w:rsidR="001B3AEA" w:rsidRPr="00937730" w:rsidRDefault="001B3AEA" w:rsidP="001B3AEA">
      <w:pPr>
        <w:pStyle w:val="BTEMEASMCA"/>
        <w:rPr>
          <w:b/>
          <w:lang w:val="fi-FI"/>
        </w:rPr>
      </w:pPr>
      <w:r w:rsidRPr="00937730">
        <w:rPr>
          <w:b/>
          <w:lang w:val="fi-FI"/>
        </w:rPr>
        <w:t>Gamintojas</w:t>
      </w:r>
    </w:p>
    <w:p w:rsidR="001B3AEA" w:rsidRPr="00937730" w:rsidRDefault="001B3AEA" w:rsidP="001B3AEA">
      <w:pPr>
        <w:pStyle w:val="BTEMEASMCA"/>
        <w:rPr>
          <w:lang w:val="fi-FI"/>
        </w:rPr>
      </w:pPr>
      <w:r w:rsidRPr="00937730">
        <w:rPr>
          <w:lang w:val="fi-FI"/>
        </w:rPr>
        <w:t>Santen Oy</w:t>
      </w:r>
    </w:p>
    <w:p w:rsidR="001B3AEA" w:rsidRPr="00937730" w:rsidRDefault="001B3AEA" w:rsidP="001B3AEA">
      <w:pPr>
        <w:pStyle w:val="BTEMEASMCA"/>
        <w:rPr>
          <w:lang w:val="fi-FI"/>
        </w:rPr>
      </w:pPr>
      <w:r w:rsidRPr="00937730">
        <w:rPr>
          <w:lang w:val="fi-FI"/>
        </w:rPr>
        <w:t>Kelloportinkatu 1</w:t>
      </w:r>
    </w:p>
    <w:p w:rsidR="001B3AEA" w:rsidRPr="00937730" w:rsidRDefault="001B3AEA" w:rsidP="001B3AEA">
      <w:pPr>
        <w:pStyle w:val="BTEMEASMCA"/>
        <w:rPr>
          <w:lang w:val="fi-FI"/>
        </w:rPr>
      </w:pPr>
      <w:r w:rsidRPr="00937730">
        <w:rPr>
          <w:lang w:val="fi-FI"/>
        </w:rPr>
        <w:t>33100 Tampere</w:t>
      </w:r>
    </w:p>
    <w:p w:rsidR="001B3AEA" w:rsidRPr="00937730" w:rsidRDefault="001B3AEA" w:rsidP="001B3AEA">
      <w:pPr>
        <w:pStyle w:val="BTEMEASMCA"/>
        <w:rPr>
          <w:lang w:val="fi-FI"/>
        </w:rPr>
      </w:pPr>
      <w:r w:rsidRPr="00937730">
        <w:rPr>
          <w:lang w:val="fi-FI"/>
        </w:rPr>
        <w:t>Suomija</w:t>
      </w:r>
    </w:p>
    <w:p w:rsidR="001B3AEA" w:rsidRPr="00937730" w:rsidRDefault="001B3AEA" w:rsidP="001B3AEA">
      <w:pPr>
        <w:pStyle w:val="BTEMEASMCA"/>
        <w:rPr>
          <w:lang w:val="lt-LT"/>
        </w:rPr>
      </w:pPr>
    </w:p>
    <w:p w:rsidR="001B3AEA" w:rsidRPr="00937730" w:rsidRDefault="001B3AEA" w:rsidP="001B3AEA">
      <w:pPr>
        <w:pStyle w:val="BTEMEASMCA"/>
        <w:rPr>
          <w:lang w:val="lt-LT"/>
        </w:rPr>
      </w:pPr>
      <w:r w:rsidRPr="00937730">
        <w:rPr>
          <w:lang w:val="lt-LT"/>
        </w:rPr>
        <w:t>Jeigu apie šį vaistą norite sužinoti daugiau, kreipkitės į vietinį registruotojo atstovą.</w:t>
      </w:r>
    </w:p>
    <w:p w:rsidR="001B3AEA" w:rsidRPr="00937730" w:rsidRDefault="001B3AEA" w:rsidP="001B3AEA">
      <w:pPr>
        <w:rPr>
          <w:szCs w:val="22"/>
        </w:rPr>
      </w:pPr>
    </w:p>
    <w:tbl>
      <w:tblPr>
        <w:tblW w:w="4680" w:type="dxa"/>
        <w:tblInd w:w="-34" w:type="dxa"/>
        <w:tblLayout w:type="fixed"/>
        <w:tblLook w:val="00A0" w:firstRow="1" w:lastRow="0" w:firstColumn="1" w:lastColumn="0" w:noHBand="0" w:noVBand="0"/>
      </w:tblPr>
      <w:tblGrid>
        <w:gridCol w:w="4680"/>
      </w:tblGrid>
      <w:tr w:rsidR="001B3AEA" w:rsidRPr="00937730" w:rsidTr="000B1DF2">
        <w:tc>
          <w:tcPr>
            <w:tcW w:w="4680" w:type="dxa"/>
          </w:tcPr>
          <w:p w:rsidR="001B3AEA" w:rsidRPr="00937730" w:rsidRDefault="001B3AEA" w:rsidP="000B1DF2">
            <w:pPr>
              <w:tabs>
                <w:tab w:val="left" w:pos="567"/>
              </w:tabs>
              <w:rPr>
                <w:szCs w:val="22"/>
              </w:rPr>
            </w:pPr>
            <w:r w:rsidRPr="00937730">
              <w:rPr>
                <w:szCs w:val="22"/>
              </w:rPr>
              <w:t>„</w:t>
            </w:r>
            <w:proofErr w:type="spellStart"/>
            <w:r w:rsidRPr="00937730">
              <w:rPr>
                <w:szCs w:val="22"/>
              </w:rPr>
              <w:t>Santen</w:t>
            </w:r>
            <w:proofErr w:type="spellEnd"/>
            <w:r w:rsidRPr="00937730">
              <w:rPr>
                <w:szCs w:val="22"/>
              </w:rPr>
              <w:t xml:space="preserve"> </w:t>
            </w:r>
            <w:proofErr w:type="spellStart"/>
            <w:r w:rsidRPr="00937730">
              <w:rPr>
                <w:szCs w:val="22"/>
              </w:rPr>
              <w:t>Oy</w:t>
            </w:r>
            <w:proofErr w:type="spellEnd"/>
            <w:r w:rsidRPr="00937730">
              <w:rPr>
                <w:szCs w:val="22"/>
              </w:rPr>
              <w:t>“ atstovybė</w:t>
            </w:r>
          </w:p>
          <w:p w:rsidR="001B3AEA" w:rsidRPr="00937730" w:rsidRDefault="001B3AEA" w:rsidP="000B1DF2">
            <w:pPr>
              <w:pStyle w:val="BTEMEASMCA"/>
              <w:rPr>
                <w:lang w:val="lt-LT"/>
              </w:rPr>
            </w:pPr>
            <w:r w:rsidRPr="00937730">
              <w:rPr>
                <w:lang w:val="lt-LT"/>
              </w:rPr>
              <w:t>K. Donelai</w:t>
            </w:r>
            <w:r>
              <w:rPr>
                <w:lang w:val="lt-LT"/>
              </w:rPr>
              <w:t>č</w:t>
            </w:r>
            <w:r w:rsidRPr="00937730">
              <w:rPr>
                <w:lang w:val="lt-LT"/>
              </w:rPr>
              <w:t>io g. 62-412</w:t>
            </w:r>
          </w:p>
          <w:p w:rsidR="001B3AEA" w:rsidRPr="00937730" w:rsidRDefault="001B3AEA" w:rsidP="000B1DF2">
            <w:pPr>
              <w:pStyle w:val="BTEMEASMCA"/>
              <w:rPr>
                <w:lang w:val="lt-LT"/>
              </w:rPr>
            </w:pPr>
            <w:r w:rsidRPr="00937730">
              <w:rPr>
                <w:lang w:val="lt-LT"/>
              </w:rPr>
              <w:t>LT-44248 Kaunas, Lietuva</w:t>
            </w:r>
          </w:p>
          <w:p w:rsidR="001B3AEA" w:rsidRPr="00937730" w:rsidRDefault="001B3AEA" w:rsidP="000B1DF2">
            <w:pPr>
              <w:pStyle w:val="BTEMEASMCA"/>
              <w:rPr>
                <w:lang w:val="lt-LT"/>
              </w:rPr>
            </w:pPr>
            <w:r w:rsidRPr="00937730">
              <w:rPr>
                <w:lang w:val="lt-LT"/>
              </w:rPr>
              <w:t>Tel</w:t>
            </w:r>
            <w:r>
              <w:rPr>
                <w:lang w:val="lt-LT"/>
              </w:rPr>
              <w:t>.</w:t>
            </w:r>
            <w:r w:rsidRPr="00937730">
              <w:rPr>
                <w:lang w:val="lt-LT"/>
              </w:rPr>
              <w:t>/Fa</w:t>
            </w:r>
            <w:r>
              <w:rPr>
                <w:lang w:val="lt-LT"/>
              </w:rPr>
              <w:t>ks.</w:t>
            </w:r>
            <w:r w:rsidRPr="00937730">
              <w:rPr>
                <w:lang w:val="lt-LT"/>
              </w:rPr>
              <w:t xml:space="preserve"> +370 37 366628</w:t>
            </w:r>
          </w:p>
        </w:tc>
      </w:tr>
    </w:tbl>
    <w:p w:rsidR="001B3AEA" w:rsidRPr="00937730" w:rsidRDefault="001B3AEA" w:rsidP="001B3AEA">
      <w:pPr>
        <w:pStyle w:val="BTEMEASMCA"/>
        <w:rPr>
          <w:lang w:val="lt-LT"/>
        </w:rPr>
      </w:pPr>
    </w:p>
    <w:p w:rsidR="001B3AEA" w:rsidRPr="00937730" w:rsidRDefault="001B3AEA" w:rsidP="001B3AEA">
      <w:pPr>
        <w:pStyle w:val="BTbEMEASMCA"/>
        <w:rPr>
          <w:lang w:val="lt-LT"/>
        </w:rPr>
      </w:pPr>
      <w:r w:rsidRPr="00937730">
        <w:rPr>
          <w:bCs/>
          <w:lang w:val="lt-LT"/>
        </w:rPr>
        <w:t>Šis pakuotės lapelis</w:t>
      </w:r>
      <w:r w:rsidRPr="00937730">
        <w:rPr>
          <w:lang w:val="lt-LT"/>
        </w:rPr>
        <w:t xml:space="preserve"> paskutinį kartą </w:t>
      </w:r>
      <w:r w:rsidRPr="00937730">
        <w:rPr>
          <w:bCs/>
          <w:lang w:val="lt-LT"/>
        </w:rPr>
        <w:t xml:space="preserve">peržiūrėtas </w:t>
      </w:r>
      <w:r>
        <w:rPr>
          <w:bCs/>
          <w:lang w:val="lt-LT"/>
        </w:rPr>
        <w:t>2022-02-03.</w:t>
      </w:r>
    </w:p>
    <w:p w:rsidR="001B3AEA" w:rsidRPr="00937730" w:rsidRDefault="001B3AEA" w:rsidP="001B3AEA">
      <w:pPr>
        <w:rPr>
          <w:szCs w:val="22"/>
        </w:rPr>
      </w:pPr>
    </w:p>
    <w:p w:rsidR="001B3AEA" w:rsidRPr="00937730" w:rsidRDefault="001B3AEA" w:rsidP="001B3AEA">
      <w:pPr>
        <w:rPr>
          <w:b/>
          <w:noProof/>
          <w:szCs w:val="22"/>
          <w:lang w:eastAsia="en-US"/>
        </w:rPr>
      </w:pPr>
      <w:r w:rsidRPr="00937730">
        <w:rPr>
          <w:b/>
          <w:szCs w:val="22"/>
        </w:rPr>
        <w:t>Kiti informacijos šaltiniai</w:t>
      </w:r>
    </w:p>
    <w:p w:rsidR="001B3AEA" w:rsidRPr="00937730" w:rsidRDefault="001B3AEA" w:rsidP="001B3AEA">
      <w:pPr>
        <w:pStyle w:val="BTEMEASMCA"/>
        <w:rPr>
          <w:lang w:val="lt-LT"/>
        </w:rPr>
      </w:pPr>
      <w:r w:rsidRPr="00937730">
        <w:rPr>
          <w:lang w:val="lt-LT"/>
        </w:rPr>
        <w:t>Išsami informacija</w:t>
      </w:r>
      <w:r w:rsidRPr="00937730">
        <w:rPr>
          <w:iCs/>
          <w:lang w:val="lt-LT"/>
        </w:rPr>
        <w:t xml:space="preserve"> apie šį vaistą </w:t>
      </w:r>
      <w:r w:rsidRPr="00937730">
        <w:rPr>
          <w:lang w:val="lt-LT"/>
        </w:rPr>
        <w:t xml:space="preserve">pateikiama Valstybinės vaistų kontrolės tarnybos prie Lietuvos Respublikos sveikatos apsaugos ministerijos (VVKT) interneto svetainėje </w:t>
      </w:r>
      <w:hyperlink r:id="rId8" w:history="1">
        <w:r w:rsidRPr="00937730">
          <w:rPr>
            <w:rStyle w:val="Hipersaitas"/>
            <w:rFonts w:eastAsia="MS Gothic"/>
            <w:lang w:val="lt-LT"/>
          </w:rPr>
          <w:t>http://www.vvkt.lt/</w:t>
        </w:r>
      </w:hyperlink>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504C1"/>
    <w:multiLevelType w:val="hybridMultilevel"/>
    <w:tmpl w:val="9010621A"/>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 w15:restartNumberingAfterBreak="0">
    <w:nsid w:val="1623698E"/>
    <w:multiLevelType w:val="hybridMultilevel"/>
    <w:tmpl w:val="63E6D9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30F02CEA"/>
    <w:multiLevelType w:val="hybridMultilevel"/>
    <w:tmpl w:val="201AEE02"/>
    <w:lvl w:ilvl="0" w:tplc="49049628">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DA583A"/>
    <w:multiLevelType w:val="hybridMultilevel"/>
    <w:tmpl w:val="726ADDB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6C5E4F"/>
    <w:multiLevelType w:val="hybridMultilevel"/>
    <w:tmpl w:val="8564C5F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AEA"/>
    <w:rsid w:val="001B3AEA"/>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35616-1DC8-4B0F-8FA7-25B148E3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3AEA"/>
    <w:pPr>
      <w:spacing w:after="0" w:line="240" w:lineRule="auto"/>
    </w:pPr>
    <w:rPr>
      <w:rFonts w:ascii="Times New Roman" w:hAnsi="Times New Roman" w:cs="Times New Roman"/>
      <w:szCs w:val="20"/>
      <w:lang w:eastAsia="lt-LT"/>
    </w:rPr>
  </w:style>
  <w:style w:type="paragraph" w:styleId="Antrat1">
    <w:name w:val="heading 1"/>
    <w:basedOn w:val="prastasis"/>
    <w:next w:val="prastasis"/>
    <w:link w:val="Antrat1Diagrama"/>
    <w:uiPriority w:val="9"/>
    <w:qFormat/>
    <w:rsid w:val="001B3AEA"/>
    <w:pPr>
      <w:tabs>
        <w:tab w:val="left" w:pos="567"/>
      </w:tabs>
      <w:outlineLvl w:val="0"/>
    </w:pPr>
    <w:rPr>
      <w:b/>
      <w:szCs w:val="22"/>
    </w:rPr>
  </w:style>
  <w:style w:type="paragraph" w:styleId="Antrat2">
    <w:name w:val="heading 2"/>
    <w:basedOn w:val="prastasis"/>
    <w:next w:val="prastasis"/>
    <w:link w:val="Antrat2Diagrama"/>
    <w:uiPriority w:val="9"/>
    <w:semiHidden/>
    <w:unhideWhenUsed/>
    <w:qFormat/>
    <w:rsid w:val="001B3AE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AEA"/>
    <w:rPr>
      <w:rFonts w:ascii="Times New Roman" w:hAnsi="Times New Roman" w:cs="Times New Roman"/>
      <w:b/>
      <w:lang w:eastAsia="lt-LT"/>
    </w:rPr>
  </w:style>
  <w:style w:type="paragraph" w:styleId="Pagrindinistekstas">
    <w:name w:val="Body Text"/>
    <w:basedOn w:val="prastasis"/>
    <w:link w:val="PagrindinistekstasDiagrama"/>
    <w:uiPriority w:val="99"/>
    <w:rsid w:val="001B3AEA"/>
    <w:pPr>
      <w:spacing w:after="120"/>
    </w:pPr>
    <w:rPr>
      <w:sz w:val="20"/>
    </w:rPr>
  </w:style>
  <w:style w:type="character" w:customStyle="1" w:styleId="PagrindinistekstasDiagrama">
    <w:name w:val="Pagrindinis tekstas Diagrama"/>
    <w:basedOn w:val="Numatytasispastraiposriftas"/>
    <w:link w:val="Pagrindinistekstas"/>
    <w:uiPriority w:val="99"/>
    <w:rsid w:val="001B3AEA"/>
    <w:rPr>
      <w:rFonts w:ascii="Times New Roman" w:hAnsi="Times New Roman" w:cs="Times New Roman"/>
      <w:sz w:val="20"/>
      <w:szCs w:val="20"/>
      <w:lang w:eastAsia="lt-LT"/>
    </w:rPr>
  </w:style>
  <w:style w:type="character" w:styleId="Hipersaitas">
    <w:name w:val="Hyperlink"/>
    <w:uiPriority w:val="99"/>
    <w:rsid w:val="001B3AEA"/>
    <w:rPr>
      <w:rFonts w:cs="Times New Roman"/>
      <w:color w:val="0000FF"/>
      <w:u w:val="single"/>
    </w:rPr>
  </w:style>
  <w:style w:type="paragraph" w:customStyle="1" w:styleId="BTEMEASMCA">
    <w:name w:val="BT EMEA_SMCA"/>
    <w:basedOn w:val="prastasis"/>
    <w:uiPriority w:val="99"/>
    <w:rsid w:val="001B3AEA"/>
    <w:rPr>
      <w:noProof/>
      <w:szCs w:val="22"/>
      <w:lang w:val="en-US" w:eastAsia="en-US"/>
    </w:rPr>
  </w:style>
  <w:style w:type="character" w:customStyle="1" w:styleId="BTEMEASMCAChar">
    <w:name w:val="BT EMEA_SMCA Char"/>
    <w:uiPriority w:val="99"/>
    <w:rsid w:val="001B3AEA"/>
    <w:rPr>
      <w:noProof/>
      <w:sz w:val="22"/>
      <w:lang w:eastAsia="en-US"/>
    </w:rPr>
  </w:style>
  <w:style w:type="paragraph" w:customStyle="1" w:styleId="PI-1EMEASMCA">
    <w:name w:val="PI-1 EMEA_SMCA"/>
    <w:basedOn w:val="Antrat2"/>
    <w:uiPriority w:val="99"/>
    <w:rsid w:val="001B3AEA"/>
    <w:pPr>
      <w:keepNext w:val="0"/>
      <w:keepLines w:val="0"/>
      <w:tabs>
        <w:tab w:val="left" w:pos="567"/>
      </w:tabs>
      <w:spacing w:before="0"/>
    </w:pPr>
    <w:rPr>
      <w:rFonts w:ascii="Times New Roman" w:eastAsia="Times New Roman" w:hAnsi="Times New Roman" w:cs="Times New Roman"/>
      <w:b/>
      <w:color w:val="auto"/>
      <w:sz w:val="22"/>
      <w:szCs w:val="22"/>
      <w:lang w:eastAsia="en-US"/>
    </w:rPr>
  </w:style>
  <w:style w:type="paragraph" w:customStyle="1" w:styleId="BT-EMEASMCA">
    <w:name w:val="BT- EMEA_SMCA"/>
    <w:basedOn w:val="BTEMEASMCA"/>
    <w:rsid w:val="001B3AEA"/>
    <w:pPr>
      <w:numPr>
        <w:numId w:val="1"/>
      </w:numPr>
      <w:tabs>
        <w:tab w:val="clear" w:pos="720"/>
        <w:tab w:val="num" w:pos="567"/>
      </w:tabs>
      <w:ind w:left="567" w:hanging="567"/>
    </w:pPr>
  </w:style>
  <w:style w:type="paragraph" w:customStyle="1" w:styleId="PI-3EMEASMCA">
    <w:name w:val="PI-3 EMEA_SMCA"/>
    <w:basedOn w:val="prastasis"/>
    <w:uiPriority w:val="99"/>
    <w:rsid w:val="001B3AEA"/>
    <w:pPr>
      <w:spacing w:line="220" w:lineRule="exact"/>
    </w:pPr>
    <w:rPr>
      <w:b/>
      <w:bCs/>
      <w:szCs w:val="22"/>
      <w:lang w:eastAsia="en-US"/>
    </w:rPr>
  </w:style>
  <w:style w:type="paragraph" w:customStyle="1" w:styleId="BTbEMEASMCA">
    <w:name w:val="BT(b) EMEA_SMCA"/>
    <w:basedOn w:val="BTEMEASMCA"/>
    <w:uiPriority w:val="99"/>
    <w:rsid w:val="001B3AEA"/>
    <w:rPr>
      <w:b/>
    </w:rPr>
  </w:style>
  <w:style w:type="paragraph" w:styleId="Sraopastraipa">
    <w:name w:val="List Paragraph"/>
    <w:basedOn w:val="prastasis"/>
    <w:uiPriority w:val="99"/>
    <w:qFormat/>
    <w:rsid w:val="001B3AEA"/>
    <w:pPr>
      <w:ind w:left="720"/>
      <w:contextualSpacing/>
    </w:pPr>
    <w:rPr>
      <w:rFonts w:eastAsia="SimSun"/>
    </w:rPr>
  </w:style>
  <w:style w:type="character" w:customStyle="1" w:styleId="Antrat2Diagrama">
    <w:name w:val="Antraštė 2 Diagrama"/>
    <w:basedOn w:val="Numatytasispastraiposriftas"/>
    <w:link w:val="Antrat2"/>
    <w:uiPriority w:val="9"/>
    <w:semiHidden/>
    <w:rsid w:val="001B3AEA"/>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7277</Words>
  <Characters>4149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2022-03-09T06:47:00Z</dcterms:created>
  <dcterms:modified xsi:type="dcterms:W3CDTF">2022-03-09T06:48:00Z</dcterms:modified>
</cp:coreProperties>
</file>