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FAC52" w14:textId="77777777" w:rsidR="00912BDF" w:rsidRPr="00A913BF" w:rsidRDefault="00912BDF" w:rsidP="00912BDF">
      <w:pPr>
        <w:jc w:val="center"/>
        <w:rPr>
          <w:b/>
          <w:szCs w:val="22"/>
        </w:rPr>
      </w:pPr>
      <w:bookmarkStart w:id="0" w:name="_GoBack"/>
      <w:bookmarkEnd w:id="0"/>
    </w:p>
    <w:p w14:paraId="36F2B43C" w14:textId="77777777" w:rsidR="00912BDF" w:rsidRPr="00A913BF" w:rsidRDefault="00912BDF" w:rsidP="00912BDF">
      <w:pPr>
        <w:jc w:val="center"/>
        <w:rPr>
          <w:b/>
          <w:szCs w:val="22"/>
        </w:rPr>
      </w:pPr>
    </w:p>
    <w:p w14:paraId="17F93199" w14:textId="77777777" w:rsidR="00912BDF" w:rsidRPr="00A913BF" w:rsidRDefault="00912BDF" w:rsidP="00912BDF">
      <w:pPr>
        <w:jc w:val="center"/>
        <w:rPr>
          <w:b/>
          <w:szCs w:val="22"/>
        </w:rPr>
      </w:pPr>
    </w:p>
    <w:p w14:paraId="4DF07F37" w14:textId="77777777" w:rsidR="00912BDF" w:rsidRPr="00A913BF" w:rsidRDefault="00912BDF" w:rsidP="00912BDF">
      <w:pPr>
        <w:jc w:val="center"/>
        <w:rPr>
          <w:b/>
          <w:szCs w:val="22"/>
        </w:rPr>
      </w:pPr>
    </w:p>
    <w:p w14:paraId="1E4D4982" w14:textId="77777777" w:rsidR="00912BDF" w:rsidRPr="00A913BF" w:rsidRDefault="00912BDF" w:rsidP="00912BDF">
      <w:pPr>
        <w:jc w:val="center"/>
        <w:rPr>
          <w:b/>
          <w:szCs w:val="22"/>
        </w:rPr>
      </w:pPr>
    </w:p>
    <w:p w14:paraId="1609C29E" w14:textId="77777777" w:rsidR="00912BDF" w:rsidRPr="00A913BF" w:rsidRDefault="00912BDF" w:rsidP="00912BDF">
      <w:pPr>
        <w:jc w:val="center"/>
        <w:rPr>
          <w:b/>
          <w:szCs w:val="22"/>
        </w:rPr>
      </w:pPr>
    </w:p>
    <w:p w14:paraId="0F7BD854" w14:textId="77777777" w:rsidR="00912BDF" w:rsidRPr="00A913BF" w:rsidRDefault="00912BDF" w:rsidP="00912BDF">
      <w:pPr>
        <w:jc w:val="center"/>
        <w:rPr>
          <w:b/>
          <w:szCs w:val="22"/>
        </w:rPr>
      </w:pPr>
    </w:p>
    <w:p w14:paraId="1D26D972" w14:textId="77777777" w:rsidR="00912BDF" w:rsidRPr="00A913BF" w:rsidRDefault="00912BDF" w:rsidP="00912BDF">
      <w:pPr>
        <w:jc w:val="center"/>
        <w:rPr>
          <w:b/>
          <w:szCs w:val="22"/>
        </w:rPr>
      </w:pPr>
    </w:p>
    <w:p w14:paraId="7670B677" w14:textId="77777777" w:rsidR="00912BDF" w:rsidRPr="00A913BF" w:rsidRDefault="00912BDF" w:rsidP="00912BDF">
      <w:pPr>
        <w:jc w:val="center"/>
        <w:rPr>
          <w:b/>
          <w:szCs w:val="22"/>
        </w:rPr>
      </w:pPr>
    </w:p>
    <w:p w14:paraId="5D14DB14" w14:textId="77777777" w:rsidR="00912BDF" w:rsidRPr="00A913BF" w:rsidRDefault="00912BDF" w:rsidP="00912BDF">
      <w:pPr>
        <w:jc w:val="center"/>
        <w:rPr>
          <w:b/>
          <w:szCs w:val="22"/>
        </w:rPr>
      </w:pPr>
    </w:p>
    <w:p w14:paraId="0425852E" w14:textId="77777777" w:rsidR="00912BDF" w:rsidRPr="00A913BF" w:rsidRDefault="00912BDF" w:rsidP="00912BDF">
      <w:pPr>
        <w:jc w:val="center"/>
        <w:rPr>
          <w:b/>
          <w:szCs w:val="22"/>
        </w:rPr>
      </w:pPr>
    </w:p>
    <w:p w14:paraId="2E72F34E" w14:textId="77777777" w:rsidR="00912BDF" w:rsidRPr="00A913BF" w:rsidRDefault="00912BDF" w:rsidP="00912BDF">
      <w:pPr>
        <w:jc w:val="center"/>
        <w:rPr>
          <w:b/>
          <w:szCs w:val="22"/>
        </w:rPr>
      </w:pPr>
    </w:p>
    <w:p w14:paraId="0AECB6A7" w14:textId="77777777" w:rsidR="00912BDF" w:rsidRPr="00A913BF" w:rsidRDefault="00912BDF" w:rsidP="00912BDF">
      <w:pPr>
        <w:jc w:val="center"/>
        <w:rPr>
          <w:b/>
          <w:szCs w:val="22"/>
        </w:rPr>
      </w:pPr>
    </w:p>
    <w:p w14:paraId="3627EACD" w14:textId="77777777" w:rsidR="00912BDF" w:rsidRPr="00A913BF" w:rsidRDefault="00912BDF" w:rsidP="00912BDF">
      <w:pPr>
        <w:jc w:val="center"/>
        <w:rPr>
          <w:b/>
          <w:szCs w:val="22"/>
        </w:rPr>
      </w:pPr>
    </w:p>
    <w:p w14:paraId="346794EA" w14:textId="77777777" w:rsidR="00912BDF" w:rsidRPr="00A913BF" w:rsidRDefault="00912BDF" w:rsidP="00912BDF">
      <w:pPr>
        <w:jc w:val="center"/>
        <w:rPr>
          <w:b/>
          <w:szCs w:val="22"/>
        </w:rPr>
      </w:pPr>
    </w:p>
    <w:p w14:paraId="04C891B4" w14:textId="77777777" w:rsidR="00912BDF" w:rsidRPr="00A913BF" w:rsidRDefault="00912BDF" w:rsidP="00912BDF">
      <w:pPr>
        <w:jc w:val="center"/>
        <w:rPr>
          <w:b/>
          <w:szCs w:val="22"/>
        </w:rPr>
      </w:pPr>
    </w:p>
    <w:p w14:paraId="1D8A5ED0" w14:textId="77777777" w:rsidR="00912BDF" w:rsidRPr="00A913BF" w:rsidRDefault="00912BDF" w:rsidP="00912BDF">
      <w:pPr>
        <w:rPr>
          <w:szCs w:val="22"/>
        </w:rPr>
      </w:pPr>
    </w:p>
    <w:p w14:paraId="606422C8" w14:textId="77777777" w:rsidR="00912BDF" w:rsidRPr="00A913BF" w:rsidRDefault="00912BDF" w:rsidP="00912BDF">
      <w:pPr>
        <w:ind w:left="567" w:hanging="567"/>
        <w:jc w:val="center"/>
        <w:rPr>
          <w:szCs w:val="22"/>
        </w:rPr>
      </w:pPr>
    </w:p>
    <w:p w14:paraId="7C974EF5" w14:textId="77777777" w:rsidR="00912BDF" w:rsidRPr="00A913BF" w:rsidRDefault="00912BDF" w:rsidP="00912BDF">
      <w:pPr>
        <w:ind w:left="567" w:hanging="567"/>
        <w:jc w:val="center"/>
        <w:rPr>
          <w:szCs w:val="22"/>
        </w:rPr>
      </w:pPr>
    </w:p>
    <w:p w14:paraId="53BD1A51" w14:textId="77777777" w:rsidR="00912BDF" w:rsidRPr="00A913BF" w:rsidRDefault="00912BDF" w:rsidP="00912BDF">
      <w:pPr>
        <w:ind w:left="567" w:hanging="567"/>
        <w:jc w:val="center"/>
        <w:rPr>
          <w:szCs w:val="22"/>
        </w:rPr>
      </w:pPr>
    </w:p>
    <w:p w14:paraId="18A78572" w14:textId="77777777" w:rsidR="00912BDF" w:rsidRPr="00A913BF" w:rsidRDefault="00912BDF" w:rsidP="00912BDF">
      <w:pPr>
        <w:ind w:left="567" w:hanging="567"/>
        <w:jc w:val="center"/>
        <w:rPr>
          <w:szCs w:val="22"/>
        </w:rPr>
      </w:pPr>
    </w:p>
    <w:p w14:paraId="6DB72F18" w14:textId="77777777" w:rsidR="00912BDF" w:rsidRPr="00A913BF" w:rsidRDefault="00912BDF" w:rsidP="00912BDF">
      <w:pPr>
        <w:ind w:left="567" w:hanging="567"/>
        <w:jc w:val="center"/>
        <w:rPr>
          <w:szCs w:val="22"/>
        </w:rPr>
      </w:pPr>
    </w:p>
    <w:p w14:paraId="27968CE7" w14:textId="77777777" w:rsidR="00912BDF" w:rsidRPr="00A913BF" w:rsidRDefault="00912BDF" w:rsidP="00912BDF">
      <w:pPr>
        <w:ind w:left="567" w:hanging="567"/>
        <w:jc w:val="center"/>
        <w:rPr>
          <w:szCs w:val="22"/>
        </w:rPr>
      </w:pPr>
    </w:p>
    <w:p w14:paraId="55A84405" w14:textId="77777777" w:rsidR="00912BDF" w:rsidRPr="00A913BF" w:rsidRDefault="00912BDF" w:rsidP="00912BDF">
      <w:pPr>
        <w:jc w:val="center"/>
        <w:rPr>
          <w:b/>
          <w:bCs/>
          <w:i/>
          <w:iCs/>
          <w:szCs w:val="22"/>
        </w:rPr>
      </w:pPr>
      <w:r w:rsidRPr="00A913BF">
        <w:rPr>
          <w:b/>
          <w:bCs/>
          <w:szCs w:val="22"/>
        </w:rPr>
        <w:t>I PRIEDAS</w:t>
      </w:r>
    </w:p>
    <w:p w14:paraId="3346664F" w14:textId="77777777" w:rsidR="00912BDF" w:rsidRPr="00A913BF" w:rsidRDefault="00912BDF" w:rsidP="00912BDF">
      <w:pPr>
        <w:ind w:left="567" w:hanging="567"/>
        <w:jc w:val="center"/>
        <w:rPr>
          <w:b/>
          <w:szCs w:val="22"/>
        </w:rPr>
      </w:pPr>
    </w:p>
    <w:p w14:paraId="2ECFAD28" w14:textId="77777777" w:rsidR="00912BDF" w:rsidRPr="00A913BF" w:rsidRDefault="00912BDF" w:rsidP="00912BDF">
      <w:pPr>
        <w:ind w:left="567" w:hanging="567"/>
        <w:jc w:val="center"/>
        <w:rPr>
          <w:szCs w:val="22"/>
        </w:rPr>
      </w:pPr>
      <w:r w:rsidRPr="00A913BF">
        <w:rPr>
          <w:b/>
          <w:bCs/>
          <w:szCs w:val="22"/>
        </w:rPr>
        <w:t>PREPARATO CHARAKTERISTIKŲ SANTRAUKA</w:t>
      </w:r>
    </w:p>
    <w:p w14:paraId="7032A3CE" w14:textId="77777777" w:rsidR="00912BDF" w:rsidRPr="00A913BF" w:rsidRDefault="00912BDF" w:rsidP="00912BDF">
      <w:pPr>
        <w:ind w:left="567" w:hanging="567"/>
        <w:jc w:val="center"/>
        <w:rPr>
          <w:szCs w:val="22"/>
        </w:rPr>
      </w:pPr>
    </w:p>
    <w:p w14:paraId="61C31297" w14:textId="77777777" w:rsidR="00912BDF" w:rsidRPr="00A913BF" w:rsidRDefault="00912BDF" w:rsidP="00912BDF">
      <w:pPr>
        <w:ind w:left="567" w:hanging="567"/>
        <w:rPr>
          <w:b/>
          <w:bCs/>
          <w:szCs w:val="22"/>
        </w:rPr>
      </w:pPr>
      <w:r w:rsidRPr="00A913BF">
        <w:rPr>
          <w:szCs w:val="22"/>
        </w:rPr>
        <w:br w:type="page"/>
      </w:r>
      <w:r w:rsidRPr="00A913BF">
        <w:rPr>
          <w:b/>
          <w:szCs w:val="22"/>
        </w:rPr>
        <w:lastRenderedPageBreak/>
        <w:t>1.</w:t>
      </w:r>
      <w:r w:rsidRPr="00A913BF">
        <w:rPr>
          <w:b/>
          <w:szCs w:val="22"/>
        </w:rPr>
        <w:tab/>
      </w:r>
      <w:r w:rsidRPr="00A913BF">
        <w:rPr>
          <w:b/>
          <w:caps/>
          <w:szCs w:val="22"/>
        </w:rPr>
        <w:t>VAISTINIO</w:t>
      </w:r>
      <w:r w:rsidRPr="00A913BF">
        <w:rPr>
          <w:b/>
          <w:szCs w:val="22"/>
        </w:rPr>
        <w:t xml:space="preserve"> PREPARATO PAVADINIMAS</w:t>
      </w:r>
    </w:p>
    <w:p w14:paraId="13AD1555" w14:textId="77777777" w:rsidR="00912BDF" w:rsidRPr="00A913BF" w:rsidRDefault="00912BDF" w:rsidP="00912BDF">
      <w:pPr>
        <w:rPr>
          <w:szCs w:val="22"/>
        </w:rPr>
      </w:pPr>
    </w:p>
    <w:p w14:paraId="7218159F" w14:textId="77777777" w:rsidR="00912BDF" w:rsidRPr="00A913BF" w:rsidRDefault="00912BDF" w:rsidP="00912BDF">
      <w:pPr>
        <w:numPr>
          <w:ilvl w:val="12"/>
          <w:numId w:val="0"/>
        </w:numPr>
        <w:jc w:val="both"/>
        <w:rPr>
          <w:szCs w:val="22"/>
        </w:rPr>
      </w:pPr>
      <w:r w:rsidRPr="00A913BF">
        <w:rPr>
          <w:szCs w:val="22"/>
        </w:rPr>
        <w:t>Atacand 4 mg tabletės</w:t>
      </w:r>
    </w:p>
    <w:p w14:paraId="21027A5C" w14:textId="77777777" w:rsidR="00912BDF" w:rsidRPr="00C45350" w:rsidRDefault="00912BDF" w:rsidP="00912BDF">
      <w:pPr>
        <w:numPr>
          <w:ilvl w:val="12"/>
          <w:numId w:val="0"/>
        </w:numPr>
        <w:jc w:val="both"/>
        <w:rPr>
          <w:highlight w:val="lightGray"/>
        </w:rPr>
      </w:pPr>
      <w:r w:rsidRPr="00C45350">
        <w:rPr>
          <w:highlight w:val="lightGray"/>
        </w:rPr>
        <w:t>Atacand 8 mg tabletės</w:t>
      </w:r>
    </w:p>
    <w:p w14:paraId="771CF02A" w14:textId="77777777" w:rsidR="00912BDF" w:rsidRPr="00C45350" w:rsidRDefault="00912BDF" w:rsidP="00912BDF">
      <w:pPr>
        <w:numPr>
          <w:ilvl w:val="12"/>
          <w:numId w:val="0"/>
        </w:numPr>
        <w:jc w:val="both"/>
        <w:rPr>
          <w:highlight w:val="lightGray"/>
        </w:rPr>
      </w:pPr>
      <w:r w:rsidRPr="00C45350">
        <w:rPr>
          <w:highlight w:val="lightGray"/>
        </w:rPr>
        <w:t>Atacand 16 mg tabletės</w:t>
      </w:r>
    </w:p>
    <w:p w14:paraId="2C3665CF" w14:textId="77777777" w:rsidR="00912BDF" w:rsidRPr="00A913BF" w:rsidRDefault="00912BDF" w:rsidP="00912BDF">
      <w:pPr>
        <w:numPr>
          <w:ilvl w:val="12"/>
          <w:numId w:val="0"/>
        </w:numPr>
        <w:jc w:val="both"/>
        <w:rPr>
          <w:szCs w:val="22"/>
        </w:rPr>
      </w:pPr>
      <w:r w:rsidRPr="00C45350">
        <w:rPr>
          <w:highlight w:val="lightGray"/>
        </w:rPr>
        <w:t>Atacand 32 mg tabletės</w:t>
      </w:r>
    </w:p>
    <w:p w14:paraId="3DEC7511" w14:textId="77777777" w:rsidR="00912BDF" w:rsidRPr="00A913BF" w:rsidRDefault="00912BDF" w:rsidP="00912BDF">
      <w:pPr>
        <w:numPr>
          <w:ilvl w:val="12"/>
          <w:numId w:val="0"/>
        </w:numPr>
        <w:jc w:val="both"/>
        <w:rPr>
          <w:szCs w:val="22"/>
        </w:rPr>
      </w:pPr>
    </w:p>
    <w:p w14:paraId="3353CFDD" w14:textId="77777777" w:rsidR="00912BDF" w:rsidRPr="00A913BF" w:rsidRDefault="00912BDF" w:rsidP="00912BDF">
      <w:pPr>
        <w:ind w:left="567" w:hanging="567"/>
        <w:rPr>
          <w:szCs w:val="22"/>
        </w:rPr>
      </w:pPr>
    </w:p>
    <w:p w14:paraId="315A1E16" w14:textId="77777777" w:rsidR="00912BDF" w:rsidRPr="00A913BF" w:rsidRDefault="00912BDF" w:rsidP="00912BDF">
      <w:pPr>
        <w:ind w:left="567" w:hanging="567"/>
        <w:rPr>
          <w:b/>
          <w:caps/>
          <w:szCs w:val="22"/>
        </w:rPr>
      </w:pPr>
      <w:r w:rsidRPr="00A913BF">
        <w:rPr>
          <w:b/>
          <w:caps/>
          <w:szCs w:val="22"/>
        </w:rPr>
        <w:t>2.</w:t>
      </w:r>
      <w:r w:rsidRPr="00A913BF">
        <w:rPr>
          <w:b/>
          <w:caps/>
          <w:szCs w:val="22"/>
        </w:rPr>
        <w:tab/>
        <w:t>kokybinė ir kiekybinė sudėtis</w:t>
      </w:r>
    </w:p>
    <w:p w14:paraId="694112CC" w14:textId="77777777" w:rsidR="00912BDF" w:rsidRPr="00A913BF" w:rsidRDefault="00912BDF" w:rsidP="00912BDF">
      <w:pPr>
        <w:rPr>
          <w:szCs w:val="22"/>
        </w:rPr>
      </w:pPr>
    </w:p>
    <w:p w14:paraId="007B1007" w14:textId="77777777" w:rsidR="00912BDF" w:rsidRPr="00A913BF" w:rsidRDefault="00912BDF" w:rsidP="00912BDF">
      <w:pPr>
        <w:rPr>
          <w:szCs w:val="22"/>
          <w:shd w:val="clear" w:color="auto" w:fill="CCCCCC"/>
        </w:rPr>
      </w:pPr>
      <w:r w:rsidRPr="00A913BF">
        <w:rPr>
          <w:szCs w:val="22"/>
        </w:rPr>
        <w:t>Kiekvienoje 4 mg tabletėje yra 4 mg kandesartano cileksetilo.</w:t>
      </w:r>
    </w:p>
    <w:p w14:paraId="0C228FF3" w14:textId="77777777" w:rsidR="00912BDF" w:rsidRPr="00A913BF" w:rsidRDefault="00912BDF" w:rsidP="00912BDF">
      <w:pPr>
        <w:rPr>
          <w:szCs w:val="22"/>
          <w:shd w:val="clear" w:color="auto" w:fill="CCCCCC"/>
        </w:rPr>
      </w:pPr>
      <w:r w:rsidRPr="00A913BF">
        <w:rPr>
          <w:szCs w:val="22"/>
          <w:shd w:val="clear" w:color="auto" w:fill="CCCCCC"/>
        </w:rPr>
        <w:t>Kiekvienoje 8 mg tabletėje yra 8 mg kandesartano cileksetilo.</w:t>
      </w:r>
    </w:p>
    <w:p w14:paraId="24F9019F" w14:textId="77777777" w:rsidR="00912BDF" w:rsidRPr="00A913BF" w:rsidRDefault="00912BDF" w:rsidP="00912BDF">
      <w:pPr>
        <w:rPr>
          <w:szCs w:val="22"/>
          <w:shd w:val="clear" w:color="auto" w:fill="CCCCCC"/>
        </w:rPr>
      </w:pPr>
      <w:r w:rsidRPr="00A913BF">
        <w:rPr>
          <w:szCs w:val="22"/>
          <w:shd w:val="clear" w:color="auto" w:fill="CCCCCC"/>
        </w:rPr>
        <w:t>Kiekvienoje 16 mg tabletėje yra 16 mg kandesartano cileksetilo.</w:t>
      </w:r>
    </w:p>
    <w:p w14:paraId="7FBFF368" w14:textId="77777777" w:rsidR="00912BDF" w:rsidRPr="00A913BF" w:rsidRDefault="00912BDF" w:rsidP="00912BDF">
      <w:pPr>
        <w:autoSpaceDE w:val="0"/>
        <w:autoSpaceDN w:val="0"/>
        <w:adjustRightInd w:val="0"/>
        <w:rPr>
          <w:szCs w:val="22"/>
          <w:shd w:val="clear" w:color="auto" w:fill="CCCCCC"/>
        </w:rPr>
      </w:pPr>
      <w:r w:rsidRPr="00A913BF">
        <w:rPr>
          <w:szCs w:val="22"/>
          <w:shd w:val="clear" w:color="auto" w:fill="CCCCCC"/>
        </w:rPr>
        <w:t>Kiekvienoje 32 mg tabletėje yra 32 mg kandesartano cileksetilo.</w:t>
      </w:r>
    </w:p>
    <w:p w14:paraId="01E9DFA6" w14:textId="77777777" w:rsidR="00912BDF" w:rsidRPr="00A913BF" w:rsidRDefault="00912BDF" w:rsidP="00912BDF">
      <w:pPr>
        <w:autoSpaceDE w:val="0"/>
        <w:autoSpaceDN w:val="0"/>
        <w:adjustRightInd w:val="0"/>
        <w:rPr>
          <w:szCs w:val="22"/>
          <w:lang w:eastAsia="lt-LT"/>
        </w:rPr>
      </w:pPr>
    </w:p>
    <w:p w14:paraId="04358CBE" w14:textId="77777777" w:rsidR="00912BDF" w:rsidRPr="00A913BF" w:rsidRDefault="00912BDF" w:rsidP="00912BDF">
      <w:pPr>
        <w:autoSpaceDE w:val="0"/>
        <w:autoSpaceDN w:val="0"/>
        <w:adjustRightInd w:val="0"/>
        <w:rPr>
          <w:szCs w:val="22"/>
          <w:lang w:eastAsia="lt-LT"/>
        </w:rPr>
      </w:pPr>
      <w:r w:rsidRPr="00A913BF">
        <w:rPr>
          <w:szCs w:val="22"/>
          <w:u w:val="single"/>
          <w:lang w:eastAsia="lt-LT"/>
        </w:rPr>
        <w:t>Pagalbinės medžiagos, kurių poveikis žinomas</w:t>
      </w:r>
    </w:p>
    <w:p w14:paraId="156519AA" w14:textId="77777777" w:rsidR="00912BDF" w:rsidRPr="00A913BF" w:rsidRDefault="00912BDF" w:rsidP="00912BDF">
      <w:pPr>
        <w:autoSpaceDE w:val="0"/>
        <w:autoSpaceDN w:val="0"/>
        <w:adjustRightInd w:val="0"/>
        <w:rPr>
          <w:szCs w:val="22"/>
          <w:lang w:eastAsia="lt-LT"/>
        </w:rPr>
      </w:pPr>
      <w:r w:rsidRPr="00A913BF">
        <w:rPr>
          <w:szCs w:val="22"/>
          <w:lang w:eastAsia="lt-LT"/>
        </w:rPr>
        <w:t>Kiekvienoje 4 mg tabletėje yra 93,4 mg laktozės monohidrato.</w:t>
      </w:r>
    </w:p>
    <w:p w14:paraId="6296418C" w14:textId="77777777" w:rsidR="00912BDF" w:rsidRPr="00C45350" w:rsidRDefault="00912BDF" w:rsidP="00912BDF">
      <w:pPr>
        <w:autoSpaceDE w:val="0"/>
        <w:autoSpaceDN w:val="0"/>
        <w:adjustRightInd w:val="0"/>
        <w:rPr>
          <w:highlight w:val="lightGray"/>
        </w:rPr>
      </w:pPr>
      <w:r w:rsidRPr="00C45350">
        <w:rPr>
          <w:highlight w:val="lightGray"/>
        </w:rPr>
        <w:t>Kiekvienoje 8 mg tabletėje yra 89,4 mg laktozės monohidrato.</w:t>
      </w:r>
    </w:p>
    <w:p w14:paraId="395D8EA9" w14:textId="77777777" w:rsidR="00912BDF" w:rsidRPr="00C45350" w:rsidRDefault="00912BDF" w:rsidP="00912BDF">
      <w:pPr>
        <w:autoSpaceDE w:val="0"/>
        <w:autoSpaceDN w:val="0"/>
        <w:adjustRightInd w:val="0"/>
        <w:rPr>
          <w:highlight w:val="lightGray"/>
        </w:rPr>
      </w:pPr>
      <w:r w:rsidRPr="00C45350">
        <w:rPr>
          <w:highlight w:val="lightGray"/>
        </w:rPr>
        <w:t>Kiekvienoje 16 mg tabletėje yra 81,4 mg laktozės monohidrato.</w:t>
      </w:r>
    </w:p>
    <w:p w14:paraId="5536AFAD" w14:textId="77777777" w:rsidR="00912BDF" w:rsidRPr="00A913BF" w:rsidRDefault="00912BDF" w:rsidP="00912BDF">
      <w:pPr>
        <w:jc w:val="both"/>
        <w:rPr>
          <w:szCs w:val="22"/>
        </w:rPr>
      </w:pPr>
      <w:r w:rsidRPr="00C45350">
        <w:rPr>
          <w:highlight w:val="lightGray"/>
        </w:rPr>
        <w:t>Kiekvienoje 32 mg tabletėje yra 163 mg laktozės monohidrato</w:t>
      </w:r>
      <w:r w:rsidRPr="00A913BF">
        <w:rPr>
          <w:szCs w:val="22"/>
          <w:lang w:eastAsia="lt-LT"/>
        </w:rPr>
        <w:t>.</w:t>
      </w:r>
    </w:p>
    <w:p w14:paraId="2DFE6839" w14:textId="77777777" w:rsidR="00912BDF" w:rsidRPr="00A913BF" w:rsidRDefault="00912BDF" w:rsidP="00912BDF">
      <w:pPr>
        <w:ind w:left="567" w:hanging="567"/>
        <w:rPr>
          <w:szCs w:val="22"/>
        </w:rPr>
      </w:pPr>
    </w:p>
    <w:p w14:paraId="13F12D86" w14:textId="77777777" w:rsidR="00912BDF" w:rsidRPr="00A913BF" w:rsidRDefault="00912BDF" w:rsidP="00912BDF">
      <w:pPr>
        <w:ind w:left="567" w:hanging="567"/>
        <w:rPr>
          <w:szCs w:val="22"/>
        </w:rPr>
      </w:pPr>
      <w:r w:rsidRPr="00A913BF">
        <w:rPr>
          <w:szCs w:val="22"/>
          <w:lang w:eastAsia="lt-LT"/>
        </w:rPr>
        <w:t>Visos pagalbinės medžiagos išvardytos 6.1 skyriuje.</w:t>
      </w:r>
    </w:p>
    <w:p w14:paraId="266C26DA" w14:textId="77777777" w:rsidR="00912BDF" w:rsidRPr="00A913BF" w:rsidRDefault="00912BDF" w:rsidP="00912BDF">
      <w:pPr>
        <w:ind w:left="567" w:hanging="567"/>
        <w:rPr>
          <w:szCs w:val="22"/>
        </w:rPr>
      </w:pPr>
    </w:p>
    <w:p w14:paraId="1E1B4360" w14:textId="77777777" w:rsidR="00912BDF" w:rsidRPr="00A913BF" w:rsidRDefault="00912BDF" w:rsidP="00912BDF">
      <w:pPr>
        <w:ind w:left="567" w:hanging="567"/>
        <w:rPr>
          <w:szCs w:val="22"/>
        </w:rPr>
      </w:pPr>
    </w:p>
    <w:p w14:paraId="16F48CF9" w14:textId="77777777" w:rsidR="00912BDF" w:rsidRPr="00A913BF" w:rsidRDefault="00912BDF" w:rsidP="00912BDF">
      <w:pPr>
        <w:ind w:left="567" w:hanging="567"/>
        <w:rPr>
          <w:b/>
          <w:caps/>
          <w:szCs w:val="22"/>
        </w:rPr>
      </w:pPr>
      <w:r w:rsidRPr="00A913BF">
        <w:rPr>
          <w:b/>
          <w:caps/>
          <w:szCs w:val="22"/>
        </w:rPr>
        <w:t>3.</w:t>
      </w:r>
      <w:r w:rsidRPr="00A913BF">
        <w:rPr>
          <w:b/>
          <w:caps/>
          <w:szCs w:val="22"/>
        </w:rPr>
        <w:tab/>
        <w:t>farmacinĖ forma</w:t>
      </w:r>
    </w:p>
    <w:p w14:paraId="3ED0F0CB" w14:textId="77777777" w:rsidR="00912BDF" w:rsidRPr="00A913BF" w:rsidRDefault="00912BDF" w:rsidP="00912BDF">
      <w:pPr>
        <w:rPr>
          <w:szCs w:val="22"/>
          <w:highlight w:val="yellow"/>
        </w:rPr>
      </w:pPr>
    </w:p>
    <w:p w14:paraId="70B26865" w14:textId="77777777" w:rsidR="00912BDF" w:rsidRPr="00A913BF" w:rsidRDefault="00912BDF" w:rsidP="00912BDF">
      <w:pPr>
        <w:rPr>
          <w:szCs w:val="22"/>
        </w:rPr>
      </w:pPr>
      <w:r w:rsidRPr="00A913BF">
        <w:rPr>
          <w:szCs w:val="22"/>
        </w:rPr>
        <w:t>Tabletė</w:t>
      </w:r>
    </w:p>
    <w:p w14:paraId="075BE3EE" w14:textId="77777777" w:rsidR="00912BDF" w:rsidRPr="00A913BF" w:rsidRDefault="00912BDF" w:rsidP="00912BDF">
      <w:pPr>
        <w:rPr>
          <w:szCs w:val="22"/>
        </w:rPr>
      </w:pPr>
    </w:p>
    <w:p w14:paraId="6B43D10A" w14:textId="77777777" w:rsidR="00912BDF" w:rsidRPr="00A913BF" w:rsidRDefault="00912BDF" w:rsidP="00912BDF">
      <w:pPr>
        <w:autoSpaceDE w:val="0"/>
        <w:autoSpaceDN w:val="0"/>
        <w:adjustRightInd w:val="0"/>
        <w:rPr>
          <w:szCs w:val="22"/>
          <w:lang w:eastAsia="lt-LT"/>
        </w:rPr>
      </w:pPr>
      <w:r w:rsidRPr="00A913BF">
        <w:rPr>
          <w:szCs w:val="22"/>
          <w:lang w:eastAsia="lt-LT"/>
        </w:rPr>
        <w:t>Atacand 4 mg tabletė yra apvali, 7 mm skersmens, balta, su vagele ir žyma “A/CF” vienoje pusėje bei “004” – kitoje.</w:t>
      </w:r>
    </w:p>
    <w:p w14:paraId="23B75396" w14:textId="77777777" w:rsidR="00912BDF" w:rsidRPr="00A913BF" w:rsidRDefault="00912BDF" w:rsidP="00912BDF">
      <w:pPr>
        <w:autoSpaceDE w:val="0"/>
        <w:autoSpaceDN w:val="0"/>
        <w:adjustRightInd w:val="0"/>
        <w:rPr>
          <w:szCs w:val="22"/>
          <w:lang w:eastAsia="lt-LT"/>
        </w:rPr>
      </w:pPr>
    </w:p>
    <w:p w14:paraId="4B0E6B25" w14:textId="77777777" w:rsidR="00912BDF" w:rsidRPr="00A913BF" w:rsidRDefault="00912BDF" w:rsidP="00912BDF">
      <w:pPr>
        <w:autoSpaceDE w:val="0"/>
        <w:autoSpaceDN w:val="0"/>
        <w:adjustRightInd w:val="0"/>
        <w:rPr>
          <w:szCs w:val="22"/>
          <w:lang w:eastAsia="lt-LT"/>
        </w:rPr>
      </w:pPr>
      <w:r w:rsidRPr="00C45350">
        <w:rPr>
          <w:highlight w:val="lightGray"/>
        </w:rPr>
        <w:t>Atacand 8 mg tabletė yra apvali, 7 mm skersmens, šviesiai rožinė, su vagele ir žyma “A/CG” vienoje pusėje bei “008” – kitoje.</w:t>
      </w:r>
    </w:p>
    <w:p w14:paraId="0331597D" w14:textId="77777777" w:rsidR="00912BDF" w:rsidRPr="00A913BF" w:rsidRDefault="00912BDF" w:rsidP="00912BDF">
      <w:pPr>
        <w:autoSpaceDE w:val="0"/>
        <w:autoSpaceDN w:val="0"/>
        <w:adjustRightInd w:val="0"/>
        <w:rPr>
          <w:szCs w:val="22"/>
          <w:lang w:eastAsia="lt-LT"/>
        </w:rPr>
      </w:pPr>
    </w:p>
    <w:p w14:paraId="1742CB3B" w14:textId="77777777" w:rsidR="00912BDF" w:rsidRPr="00A913BF" w:rsidRDefault="00912BDF" w:rsidP="00912BDF">
      <w:pPr>
        <w:autoSpaceDE w:val="0"/>
        <w:autoSpaceDN w:val="0"/>
        <w:adjustRightInd w:val="0"/>
        <w:rPr>
          <w:szCs w:val="22"/>
          <w:lang w:eastAsia="lt-LT"/>
        </w:rPr>
      </w:pPr>
      <w:r w:rsidRPr="00C45350">
        <w:rPr>
          <w:highlight w:val="lightGray"/>
        </w:rPr>
        <w:t>Atacand 16 mg tabletė yra apvali, 7 mm skersmens, rožinė, su vagele ir žyma “A/CH” vienoje pusėje bei “016” – kitoje.</w:t>
      </w:r>
    </w:p>
    <w:p w14:paraId="787B6076" w14:textId="77777777" w:rsidR="00912BDF" w:rsidRPr="00A913BF" w:rsidRDefault="00912BDF" w:rsidP="00912BDF">
      <w:pPr>
        <w:autoSpaceDE w:val="0"/>
        <w:autoSpaceDN w:val="0"/>
        <w:adjustRightInd w:val="0"/>
        <w:rPr>
          <w:szCs w:val="22"/>
          <w:lang w:eastAsia="lt-LT"/>
        </w:rPr>
      </w:pPr>
    </w:p>
    <w:p w14:paraId="30309165" w14:textId="77777777" w:rsidR="00912BDF" w:rsidRPr="00A913BF" w:rsidRDefault="00912BDF" w:rsidP="00912BDF">
      <w:pPr>
        <w:autoSpaceDE w:val="0"/>
        <w:autoSpaceDN w:val="0"/>
        <w:adjustRightInd w:val="0"/>
        <w:rPr>
          <w:szCs w:val="22"/>
          <w:lang w:eastAsia="lt-LT"/>
        </w:rPr>
      </w:pPr>
      <w:r w:rsidRPr="00C45350">
        <w:rPr>
          <w:highlight w:val="lightGray"/>
        </w:rPr>
        <w:t>Atacand 32 mg tabletė  yra apvali, 9,5 mm skersmens, rožinė, su vagele ir žyma “A/CL” vienoje pusėje bei “032” – kitoje.</w:t>
      </w:r>
    </w:p>
    <w:p w14:paraId="5246935A" w14:textId="77777777" w:rsidR="00912BDF" w:rsidRPr="00A913BF" w:rsidRDefault="00912BDF" w:rsidP="00912BDF">
      <w:pPr>
        <w:rPr>
          <w:szCs w:val="22"/>
          <w:lang w:eastAsia="lt-LT"/>
        </w:rPr>
      </w:pPr>
    </w:p>
    <w:p w14:paraId="788FBE5B" w14:textId="77777777" w:rsidR="00912BDF" w:rsidRPr="00A913BF" w:rsidRDefault="00912BDF" w:rsidP="00912BDF">
      <w:pPr>
        <w:rPr>
          <w:szCs w:val="22"/>
          <w:lang w:eastAsia="lt-LT"/>
        </w:rPr>
      </w:pPr>
      <w:r w:rsidRPr="00A913BF">
        <w:rPr>
          <w:szCs w:val="22"/>
          <w:lang w:eastAsia="lt-LT"/>
        </w:rPr>
        <w:t>Tabletę galima padalyti į lygias dozes.</w:t>
      </w:r>
    </w:p>
    <w:p w14:paraId="3D86A105" w14:textId="77777777" w:rsidR="00912BDF" w:rsidRPr="00A913BF" w:rsidRDefault="00912BDF" w:rsidP="00912BDF">
      <w:pPr>
        <w:rPr>
          <w:szCs w:val="22"/>
        </w:rPr>
      </w:pPr>
    </w:p>
    <w:p w14:paraId="70DC0F4F" w14:textId="77777777" w:rsidR="00912BDF" w:rsidRPr="00A913BF" w:rsidRDefault="00912BDF" w:rsidP="00912BDF">
      <w:pPr>
        <w:rPr>
          <w:szCs w:val="22"/>
        </w:rPr>
      </w:pPr>
    </w:p>
    <w:p w14:paraId="45444961" w14:textId="77777777" w:rsidR="00912BDF" w:rsidRPr="00A913BF" w:rsidRDefault="00912BDF" w:rsidP="00912BDF">
      <w:pPr>
        <w:ind w:left="567" w:hanging="567"/>
        <w:rPr>
          <w:b/>
          <w:caps/>
          <w:szCs w:val="22"/>
        </w:rPr>
      </w:pPr>
      <w:r w:rsidRPr="00A913BF">
        <w:rPr>
          <w:b/>
          <w:caps/>
          <w:szCs w:val="22"/>
        </w:rPr>
        <w:t>4.</w:t>
      </w:r>
      <w:r w:rsidRPr="00A913BF">
        <w:rPr>
          <w:b/>
          <w:caps/>
          <w:szCs w:val="22"/>
        </w:rPr>
        <w:tab/>
        <w:t>klinikinĖ informacija</w:t>
      </w:r>
    </w:p>
    <w:p w14:paraId="67BFD57E" w14:textId="77777777" w:rsidR="00912BDF" w:rsidRPr="00A913BF" w:rsidRDefault="00912BDF" w:rsidP="00912BDF">
      <w:pPr>
        <w:ind w:left="567" w:hanging="567"/>
        <w:rPr>
          <w:szCs w:val="22"/>
        </w:rPr>
      </w:pPr>
    </w:p>
    <w:p w14:paraId="456E3903" w14:textId="77777777" w:rsidR="00912BDF" w:rsidRPr="00A913BF" w:rsidRDefault="00912BDF" w:rsidP="00912BDF">
      <w:pPr>
        <w:ind w:left="567" w:hanging="567"/>
        <w:rPr>
          <w:b/>
          <w:szCs w:val="22"/>
        </w:rPr>
      </w:pPr>
      <w:r w:rsidRPr="00A913BF">
        <w:rPr>
          <w:b/>
          <w:szCs w:val="22"/>
        </w:rPr>
        <w:t>4.1</w:t>
      </w:r>
      <w:r w:rsidRPr="00A913BF">
        <w:rPr>
          <w:b/>
          <w:szCs w:val="22"/>
        </w:rPr>
        <w:tab/>
        <w:t>Terapinės indikacijos</w:t>
      </w:r>
    </w:p>
    <w:p w14:paraId="308DF3B2" w14:textId="77777777" w:rsidR="00912BDF" w:rsidRPr="00A913BF" w:rsidRDefault="00912BDF" w:rsidP="00912BDF">
      <w:pPr>
        <w:ind w:left="567" w:hanging="567"/>
        <w:rPr>
          <w:szCs w:val="22"/>
        </w:rPr>
      </w:pPr>
    </w:p>
    <w:p w14:paraId="50CAB1B4" w14:textId="77777777" w:rsidR="00912BDF" w:rsidRPr="00A913BF" w:rsidRDefault="00912BDF" w:rsidP="00912BDF">
      <w:pPr>
        <w:ind w:left="567" w:hanging="567"/>
        <w:rPr>
          <w:szCs w:val="22"/>
        </w:rPr>
      </w:pPr>
      <w:r w:rsidRPr="00A913BF">
        <w:rPr>
          <w:szCs w:val="22"/>
        </w:rPr>
        <w:t>Atacand vartojamas:</w:t>
      </w:r>
    </w:p>
    <w:p w14:paraId="0B102F85" w14:textId="77777777" w:rsidR="00912BDF" w:rsidRPr="00A913BF" w:rsidRDefault="00912BDF" w:rsidP="00912BDF">
      <w:pPr>
        <w:numPr>
          <w:ilvl w:val="0"/>
          <w:numId w:val="13"/>
        </w:numPr>
        <w:rPr>
          <w:szCs w:val="22"/>
        </w:rPr>
      </w:pPr>
      <w:r w:rsidRPr="00A913BF">
        <w:rPr>
          <w:szCs w:val="22"/>
        </w:rPr>
        <w:t>suaugusiųjų pirminei arterinei hipertenzijai gydyti;</w:t>
      </w:r>
    </w:p>
    <w:p w14:paraId="06FBAEBA" w14:textId="77777777" w:rsidR="00912BDF" w:rsidRPr="00A913BF" w:rsidRDefault="00912BDF" w:rsidP="00912BDF">
      <w:pPr>
        <w:numPr>
          <w:ilvl w:val="0"/>
          <w:numId w:val="13"/>
        </w:numPr>
        <w:rPr>
          <w:szCs w:val="22"/>
        </w:rPr>
      </w:pPr>
      <w:r w:rsidRPr="00A913BF">
        <w:rPr>
          <w:szCs w:val="22"/>
        </w:rPr>
        <w:t>vaikų ir paauglių nuo 6 iki 18 metų arterinei hipertenzijai gydyti;</w:t>
      </w:r>
    </w:p>
    <w:p w14:paraId="006ACBE6" w14:textId="77777777" w:rsidR="00912BDF" w:rsidRPr="00A913BF" w:rsidRDefault="00912BDF" w:rsidP="00912BDF">
      <w:pPr>
        <w:numPr>
          <w:ilvl w:val="0"/>
          <w:numId w:val="13"/>
        </w:numPr>
        <w:rPr>
          <w:szCs w:val="22"/>
        </w:rPr>
      </w:pPr>
      <w:r w:rsidRPr="00A913BF">
        <w:rPr>
          <w:szCs w:val="22"/>
        </w:rPr>
        <w:t xml:space="preserve">suaugusių pacientų, kurie serga širdies nepakankamumu ir kurių kairiojo skilvelio sistolinė funkcija sutrikusi (kairiojo skilvelio išstūmimo frakcija </w:t>
      </w:r>
      <w:r w:rsidRPr="00A913BF">
        <w:rPr>
          <w:szCs w:val="22"/>
        </w:rPr>
        <w:sym w:font="Symbol" w:char="F0A3"/>
      </w:r>
      <w:r w:rsidRPr="00A913BF">
        <w:rPr>
          <w:szCs w:val="22"/>
        </w:rPr>
        <w:t> 40%), gydymas, kai netoleruojami AKF inhibitoriai, arba pacientų, kurie serga simptominiu širdies nepakankamumu, gydymo AKF inhibitoriais papildymas, nepaisant optimalaus gydymo, kai netoleruojami mineralokortikoidinių receptorių antagonistai (žr. 4.2, 4.4, 4.5 ir 5.1 skyrius).</w:t>
      </w:r>
    </w:p>
    <w:p w14:paraId="1C1CDE1F" w14:textId="77777777" w:rsidR="00912BDF" w:rsidRPr="00A913BF" w:rsidRDefault="00912BDF" w:rsidP="00912BDF">
      <w:pPr>
        <w:ind w:left="567" w:hanging="567"/>
        <w:rPr>
          <w:szCs w:val="22"/>
        </w:rPr>
      </w:pPr>
    </w:p>
    <w:p w14:paraId="1A81FB25" w14:textId="77777777" w:rsidR="00912BDF" w:rsidRPr="00A913BF" w:rsidRDefault="00912BDF" w:rsidP="00912BDF">
      <w:pPr>
        <w:ind w:left="567" w:hanging="567"/>
        <w:rPr>
          <w:b/>
          <w:szCs w:val="22"/>
        </w:rPr>
      </w:pPr>
      <w:r w:rsidRPr="00A913BF">
        <w:rPr>
          <w:b/>
          <w:szCs w:val="22"/>
        </w:rPr>
        <w:t>4.2</w:t>
      </w:r>
      <w:r w:rsidRPr="00A913BF">
        <w:rPr>
          <w:b/>
          <w:szCs w:val="22"/>
        </w:rPr>
        <w:tab/>
        <w:t>Dozavimas ir vartojimo metodas</w:t>
      </w:r>
    </w:p>
    <w:p w14:paraId="078C7C0B" w14:textId="77777777" w:rsidR="00912BDF" w:rsidRPr="00A913BF" w:rsidRDefault="00912BDF" w:rsidP="00912BDF">
      <w:pPr>
        <w:ind w:left="567" w:hanging="567"/>
        <w:rPr>
          <w:b/>
          <w:szCs w:val="22"/>
        </w:rPr>
      </w:pPr>
    </w:p>
    <w:p w14:paraId="337F79AB" w14:textId="77777777" w:rsidR="00912BDF" w:rsidRPr="00A913BF" w:rsidRDefault="00912BDF" w:rsidP="00912BDF">
      <w:pPr>
        <w:rPr>
          <w:szCs w:val="22"/>
          <w:u w:val="single"/>
        </w:rPr>
      </w:pPr>
      <w:r w:rsidRPr="00A913BF">
        <w:rPr>
          <w:szCs w:val="22"/>
          <w:u w:val="single"/>
        </w:rPr>
        <w:t>Dozavimas arterine hipertenzija sergantiems pacientams</w:t>
      </w:r>
    </w:p>
    <w:p w14:paraId="3C6B51C7" w14:textId="77777777" w:rsidR="00912BDF" w:rsidRPr="00A913BF" w:rsidRDefault="00912BDF" w:rsidP="00912BDF">
      <w:pPr>
        <w:rPr>
          <w:szCs w:val="22"/>
        </w:rPr>
      </w:pPr>
      <w:r w:rsidRPr="00A913BF">
        <w:rPr>
          <w:szCs w:val="22"/>
        </w:rPr>
        <w:t>Rekomenduojama pradinė ir įprasta palaikomoji Atacand dozė – 8 mg 1 kartą per parą. Didžiausia antihipertenzinio poveikio dalis pasireiškia per 4 savaites. Kai kuriems pacientams, kurių kraujospūdis tinkamai nesureguliuojamas, dozę galima padidinti iki 16 mg 1 kartą per parą ir didžiausios – 32 mg 1 kartą per parą. Dozė koreguojama atsižvelgiant į kraujospūdžio pokyčius.</w:t>
      </w:r>
    </w:p>
    <w:p w14:paraId="7C2D0768" w14:textId="77777777" w:rsidR="00912BDF" w:rsidRPr="00A913BF" w:rsidRDefault="00912BDF" w:rsidP="00912BDF">
      <w:pPr>
        <w:rPr>
          <w:szCs w:val="22"/>
        </w:rPr>
      </w:pPr>
    </w:p>
    <w:p w14:paraId="66822DA5" w14:textId="77777777" w:rsidR="00912BDF" w:rsidRPr="00A913BF" w:rsidRDefault="00912BDF" w:rsidP="00912BDF">
      <w:pPr>
        <w:jc w:val="both"/>
        <w:rPr>
          <w:rFonts w:eastAsia="Batang"/>
          <w:b/>
          <w:szCs w:val="22"/>
        </w:rPr>
      </w:pPr>
      <w:r w:rsidRPr="00A913BF">
        <w:rPr>
          <w:szCs w:val="22"/>
        </w:rPr>
        <w:t xml:space="preserve">Atacand taip pat galima vartoti kartu su kitomis antihipertenzinėmis medžiagomis </w:t>
      </w:r>
      <w:r w:rsidRPr="00A913BF">
        <w:rPr>
          <w:rFonts w:eastAsia="Batang"/>
          <w:szCs w:val="22"/>
        </w:rPr>
        <w:t>(žr. 4.3, 4.4, 4.5 ir 5.1 skyrius)</w:t>
      </w:r>
      <w:r w:rsidRPr="00A913BF">
        <w:rPr>
          <w:rFonts w:eastAsia="Batang"/>
          <w:i/>
          <w:szCs w:val="22"/>
        </w:rPr>
        <w:t>“.</w:t>
      </w:r>
      <w:r w:rsidRPr="00A913BF">
        <w:rPr>
          <w:rFonts w:eastAsia="Batang"/>
          <w:b/>
          <w:szCs w:val="22"/>
        </w:rPr>
        <w:t xml:space="preserve"> </w:t>
      </w:r>
      <w:r w:rsidRPr="00A913BF">
        <w:rPr>
          <w:szCs w:val="22"/>
        </w:rPr>
        <w:t>Nustatyta, kad papildomai vartojamo hidrochlorotiazido poveikis sumuojasi su antihipertenziniu įvairių Atacand dozių poveikiu.</w:t>
      </w:r>
    </w:p>
    <w:p w14:paraId="2B1DFF5D" w14:textId="77777777" w:rsidR="00912BDF" w:rsidRPr="00A913BF" w:rsidRDefault="00912BDF" w:rsidP="00912BDF">
      <w:pPr>
        <w:rPr>
          <w:szCs w:val="22"/>
        </w:rPr>
      </w:pPr>
    </w:p>
    <w:p w14:paraId="38DA6642" w14:textId="77777777" w:rsidR="00912BDF" w:rsidRPr="00A913BF" w:rsidRDefault="00912BDF" w:rsidP="00912BDF">
      <w:pPr>
        <w:rPr>
          <w:i/>
          <w:iCs/>
          <w:szCs w:val="22"/>
        </w:rPr>
      </w:pPr>
      <w:r>
        <w:rPr>
          <w:i/>
          <w:iCs/>
          <w:szCs w:val="22"/>
        </w:rPr>
        <w:t>Senyviems pacientams</w:t>
      </w:r>
    </w:p>
    <w:p w14:paraId="2D91B2CA" w14:textId="77777777" w:rsidR="00912BDF" w:rsidRPr="00A913BF" w:rsidRDefault="00912BDF" w:rsidP="00912BDF">
      <w:pPr>
        <w:rPr>
          <w:szCs w:val="22"/>
        </w:rPr>
      </w:pPr>
      <w:r w:rsidRPr="00A913BF">
        <w:rPr>
          <w:szCs w:val="22"/>
        </w:rPr>
        <w:t xml:space="preserve">Senyviems pacientams pradinės dozės koreguoti nereikia. </w:t>
      </w:r>
    </w:p>
    <w:p w14:paraId="4984CDCB" w14:textId="77777777" w:rsidR="00912BDF" w:rsidRPr="00A913BF" w:rsidRDefault="00912BDF" w:rsidP="00912BDF">
      <w:pPr>
        <w:rPr>
          <w:szCs w:val="22"/>
        </w:rPr>
      </w:pPr>
    </w:p>
    <w:p w14:paraId="06D7B97E" w14:textId="77777777" w:rsidR="00912BDF" w:rsidRPr="00A913BF" w:rsidRDefault="00912BDF" w:rsidP="00912BDF">
      <w:pPr>
        <w:rPr>
          <w:i/>
          <w:iCs/>
          <w:szCs w:val="22"/>
        </w:rPr>
      </w:pPr>
      <w:r w:rsidRPr="00A913BF">
        <w:rPr>
          <w:i/>
          <w:iCs/>
          <w:szCs w:val="22"/>
        </w:rPr>
        <w:t>Pacientai, kurių cirkuliuojančio kraujo tūris sumažėjęs</w:t>
      </w:r>
    </w:p>
    <w:p w14:paraId="1CF3DAF6" w14:textId="77777777" w:rsidR="00912BDF" w:rsidRPr="00A913BF" w:rsidRDefault="00912BDF" w:rsidP="00912BDF">
      <w:pPr>
        <w:rPr>
          <w:szCs w:val="22"/>
        </w:rPr>
      </w:pPr>
      <w:r w:rsidRPr="00A913BF">
        <w:rPr>
          <w:szCs w:val="22"/>
        </w:rPr>
        <w:t>Jei yra hipotenzijos pavojus (pvz., kai gali būti sumažėjęs cirkuliuojančio kraujo tūris), galima svarstyti pradinės 4 mg dozės tikslingumą (žr. 4.4 skyrių).</w:t>
      </w:r>
    </w:p>
    <w:p w14:paraId="5223CE15" w14:textId="77777777" w:rsidR="00912BDF" w:rsidRPr="00A913BF" w:rsidRDefault="00912BDF" w:rsidP="00912BDF">
      <w:pPr>
        <w:rPr>
          <w:szCs w:val="22"/>
        </w:rPr>
      </w:pPr>
    </w:p>
    <w:p w14:paraId="42A5D6BE" w14:textId="77777777" w:rsidR="00912BDF" w:rsidRPr="00A913BF" w:rsidRDefault="00912BDF" w:rsidP="00912BDF">
      <w:pPr>
        <w:rPr>
          <w:i/>
          <w:iCs/>
          <w:szCs w:val="22"/>
        </w:rPr>
      </w:pPr>
      <w:r w:rsidRPr="006D10F6">
        <w:rPr>
          <w:i/>
          <w:iCs/>
          <w:color w:val="000000"/>
          <w:szCs w:val="22"/>
        </w:rPr>
        <w:t xml:space="preserve"> </w:t>
      </w:r>
      <w:r w:rsidRPr="004971F6">
        <w:rPr>
          <w:i/>
          <w:iCs/>
          <w:color w:val="000000"/>
          <w:szCs w:val="22"/>
        </w:rPr>
        <w:t>Pacientams, kurių inkstų funkcija sutrikusi</w:t>
      </w:r>
      <w:r w:rsidRPr="00A913BF">
        <w:rPr>
          <w:i/>
          <w:iCs/>
          <w:szCs w:val="22"/>
        </w:rPr>
        <w:t xml:space="preserve"> </w:t>
      </w:r>
    </w:p>
    <w:p w14:paraId="6F2C0C11" w14:textId="77777777" w:rsidR="00912BDF" w:rsidRPr="00A913BF" w:rsidRDefault="00912BDF" w:rsidP="00912BDF">
      <w:pPr>
        <w:rPr>
          <w:szCs w:val="22"/>
        </w:rPr>
      </w:pPr>
      <w:r w:rsidRPr="00A913BF">
        <w:rPr>
          <w:szCs w:val="22"/>
        </w:rPr>
        <w:t>Pacientams, kurių inkstų funkcija sutrikusi (įskaitant hemodializuojamus), pradinė dozė yra 4 mg. Ji koreguojama atsižvelgiant į organizmo reakciją. Pacientams, kuriems yra labai sunkus inkstų funkcijos sutrikimas arba galutinė jo stadija (kreatinino klirensas mažesnis kaip 15 ml/min.), šio vaistinio preparato vartojimo patirties yra mažai (žr. 4.4 skyrių).</w:t>
      </w:r>
    </w:p>
    <w:p w14:paraId="07D7C83D" w14:textId="77777777" w:rsidR="00912BDF" w:rsidRPr="00A913BF" w:rsidRDefault="00912BDF" w:rsidP="00912BDF">
      <w:pPr>
        <w:rPr>
          <w:szCs w:val="22"/>
        </w:rPr>
      </w:pPr>
    </w:p>
    <w:p w14:paraId="7C297A8A" w14:textId="77777777" w:rsidR="00912BDF" w:rsidRPr="009D50DA" w:rsidRDefault="00912BDF" w:rsidP="00912BDF">
      <w:pPr>
        <w:keepNext/>
        <w:keepLines/>
        <w:rPr>
          <w:i/>
          <w:szCs w:val="22"/>
        </w:rPr>
      </w:pPr>
      <w:r w:rsidRPr="004971F6">
        <w:rPr>
          <w:i/>
          <w:iCs/>
          <w:color w:val="000000"/>
          <w:szCs w:val="22"/>
        </w:rPr>
        <w:t>Pacientams, kurių kepenų funkcija sutrikusi</w:t>
      </w:r>
    </w:p>
    <w:p w14:paraId="5E4EEAAE" w14:textId="77777777" w:rsidR="00912BDF" w:rsidRPr="00A913BF" w:rsidRDefault="00912BDF" w:rsidP="00912BDF">
      <w:pPr>
        <w:rPr>
          <w:szCs w:val="22"/>
        </w:rPr>
      </w:pPr>
      <w:r w:rsidRPr="00A913BF">
        <w:rPr>
          <w:szCs w:val="22"/>
        </w:rPr>
        <w:t>Pacientams, kuriems yra lengvas ar vidutinio sunkumo kepenų funkcijos sutrikimas, rekomenduojama pradinė dozė yra 4 mg 1 kartą per parą. Ją galima koreguoti atsižvelgiant į organizmo reakciją. Sunkus kepenų funkcijos sutrikimas ir (ar) tulžies stazė yra kontraindikacijos šiam vaistiniam preparatui vartoti (žr. 4.3 ir 5.2 skyrius).</w:t>
      </w:r>
    </w:p>
    <w:p w14:paraId="148DFA71" w14:textId="77777777" w:rsidR="00912BDF" w:rsidRPr="00A913BF" w:rsidRDefault="00912BDF" w:rsidP="00912BDF">
      <w:pPr>
        <w:rPr>
          <w:szCs w:val="22"/>
        </w:rPr>
      </w:pPr>
    </w:p>
    <w:p w14:paraId="25CD83BD" w14:textId="77777777" w:rsidR="00912BDF" w:rsidRPr="00A913BF" w:rsidRDefault="00912BDF" w:rsidP="00912BDF">
      <w:pPr>
        <w:rPr>
          <w:i/>
          <w:iCs/>
          <w:szCs w:val="22"/>
        </w:rPr>
      </w:pPr>
      <w:r w:rsidRPr="00A913BF">
        <w:rPr>
          <w:i/>
          <w:iCs/>
          <w:szCs w:val="22"/>
        </w:rPr>
        <w:t>Juodaodžiai pacientai</w:t>
      </w:r>
    </w:p>
    <w:p w14:paraId="5843B676" w14:textId="77777777" w:rsidR="00912BDF" w:rsidRPr="00A913BF" w:rsidRDefault="00912BDF" w:rsidP="00912BDF">
      <w:pPr>
        <w:rPr>
          <w:szCs w:val="22"/>
        </w:rPr>
      </w:pPr>
      <w:r w:rsidRPr="00A913BF">
        <w:rPr>
          <w:szCs w:val="22"/>
        </w:rPr>
        <w:t>Juodaodžiams pacientams kandesartano antihipertenzinis poveikis yra silpnesnis negu kitiems, todėl norint sureguliuoti jų kraujospūdį dažniau gali tekti didinti Atacand ir kartu vartojamų vaistinių preparatų dozes (žr. 5.1 skyrių).</w:t>
      </w:r>
    </w:p>
    <w:p w14:paraId="38BBADAD" w14:textId="77777777" w:rsidR="00912BDF" w:rsidRPr="00A913BF" w:rsidRDefault="00912BDF" w:rsidP="00912BDF">
      <w:pPr>
        <w:rPr>
          <w:szCs w:val="22"/>
        </w:rPr>
      </w:pPr>
    </w:p>
    <w:p w14:paraId="13029367" w14:textId="77777777" w:rsidR="00912BDF" w:rsidRPr="00A913BF" w:rsidRDefault="00912BDF" w:rsidP="00912BDF">
      <w:pPr>
        <w:rPr>
          <w:i/>
          <w:szCs w:val="22"/>
          <w:u w:val="single"/>
        </w:rPr>
      </w:pPr>
      <w:r w:rsidRPr="00A913BF">
        <w:rPr>
          <w:i/>
          <w:szCs w:val="22"/>
          <w:u w:val="single"/>
        </w:rPr>
        <w:t xml:space="preserve">Vaikų populiacija </w:t>
      </w:r>
    </w:p>
    <w:p w14:paraId="64DD89D1" w14:textId="77777777" w:rsidR="00912BDF" w:rsidRPr="00A913BF" w:rsidRDefault="00912BDF" w:rsidP="00912BDF">
      <w:pPr>
        <w:rPr>
          <w:szCs w:val="22"/>
        </w:rPr>
      </w:pPr>
    </w:p>
    <w:p w14:paraId="21FD07FF" w14:textId="77777777" w:rsidR="00912BDF" w:rsidRPr="00A913BF" w:rsidRDefault="00912BDF" w:rsidP="00912BDF">
      <w:pPr>
        <w:rPr>
          <w:i/>
          <w:szCs w:val="22"/>
        </w:rPr>
      </w:pPr>
      <w:r w:rsidRPr="00A913BF">
        <w:rPr>
          <w:i/>
          <w:szCs w:val="22"/>
        </w:rPr>
        <w:t>Vaikams ir paaugliams nuo 6 iki   18 metų</w:t>
      </w:r>
    </w:p>
    <w:p w14:paraId="032878CA" w14:textId="77777777" w:rsidR="00912BDF" w:rsidRPr="00A913BF" w:rsidRDefault="00912BDF" w:rsidP="00912BDF">
      <w:pPr>
        <w:rPr>
          <w:szCs w:val="22"/>
        </w:rPr>
      </w:pPr>
      <w:r w:rsidRPr="00A913BF">
        <w:rPr>
          <w:szCs w:val="22"/>
        </w:rPr>
        <w:t xml:space="preserve">Rekomenduojama pradinė dozė yra 4 mg 1 kartą per parą. </w:t>
      </w:r>
    </w:p>
    <w:p w14:paraId="42AE84DF" w14:textId="77777777" w:rsidR="00912BDF" w:rsidRPr="00A913BF" w:rsidRDefault="00912BDF" w:rsidP="00912BDF">
      <w:pPr>
        <w:rPr>
          <w:szCs w:val="22"/>
        </w:rPr>
      </w:pPr>
    </w:p>
    <w:p w14:paraId="3C2C2E4A" w14:textId="77777777" w:rsidR="00912BDF" w:rsidRPr="00A913BF" w:rsidRDefault="00912BDF" w:rsidP="00912BDF">
      <w:pPr>
        <w:numPr>
          <w:ilvl w:val="0"/>
          <w:numId w:val="13"/>
        </w:numPr>
        <w:rPr>
          <w:szCs w:val="22"/>
        </w:rPr>
      </w:pPr>
      <w:r w:rsidRPr="00A913BF">
        <w:rPr>
          <w:szCs w:val="22"/>
        </w:rPr>
        <w:t>&lt; 50 kg svorio pacientams, jeigu kraujospūdžio tinkamai sureguliuoti nepavyksta, dozę galima padidinti iki didžiausios – 8 mg 1 kartą per parą.</w:t>
      </w:r>
    </w:p>
    <w:p w14:paraId="05F89E1C" w14:textId="77777777" w:rsidR="00912BDF" w:rsidRPr="00A913BF" w:rsidRDefault="00912BDF" w:rsidP="00912BDF">
      <w:pPr>
        <w:numPr>
          <w:ilvl w:val="0"/>
          <w:numId w:val="13"/>
        </w:numPr>
        <w:rPr>
          <w:szCs w:val="22"/>
        </w:rPr>
      </w:pPr>
      <w:r w:rsidRPr="00A913BF">
        <w:rPr>
          <w:szCs w:val="22"/>
        </w:rPr>
        <w:t>≥ 50 kg svorio pacientams, jeigu kraujospūdžio tinkamai sureguliuoti nepavyksta, dozę galima padidinti iki 8 mg 1 kartą per parą, o vėliau (prireikus) – iki 16 mg 1 kartą per parą (žr. 5.1 skyrių).</w:t>
      </w:r>
    </w:p>
    <w:p w14:paraId="2DD647C1" w14:textId="77777777" w:rsidR="00912BDF" w:rsidRPr="00A913BF" w:rsidRDefault="00912BDF" w:rsidP="00912BDF">
      <w:pPr>
        <w:rPr>
          <w:szCs w:val="22"/>
        </w:rPr>
      </w:pPr>
    </w:p>
    <w:p w14:paraId="108B77B4" w14:textId="77777777" w:rsidR="00912BDF" w:rsidRPr="00A913BF" w:rsidRDefault="00912BDF" w:rsidP="00912BDF">
      <w:pPr>
        <w:rPr>
          <w:szCs w:val="22"/>
        </w:rPr>
      </w:pPr>
      <w:r w:rsidRPr="00A913BF">
        <w:rPr>
          <w:szCs w:val="22"/>
        </w:rPr>
        <w:t xml:space="preserve">Didesnių kaip 32 mg dozių poveikis vaikams netirtas. </w:t>
      </w:r>
    </w:p>
    <w:p w14:paraId="517BFDE5" w14:textId="77777777" w:rsidR="00912BDF" w:rsidRPr="00A913BF" w:rsidRDefault="00912BDF" w:rsidP="00912BDF">
      <w:pPr>
        <w:rPr>
          <w:szCs w:val="22"/>
        </w:rPr>
      </w:pPr>
    </w:p>
    <w:p w14:paraId="1CC81B4D" w14:textId="77777777" w:rsidR="00912BDF" w:rsidRPr="00A913BF" w:rsidRDefault="00912BDF" w:rsidP="00912BDF">
      <w:pPr>
        <w:rPr>
          <w:szCs w:val="22"/>
        </w:rPr>
      </w:pPr>
      <w:r w:rsidRPr="00A913BF">
        <w:rPr>
          <w:szCs w:val="22"/>
        </w:rPr>
        <w:t>Didžioji antihipertenzinio poveikio dalis pasireiškia per 4 savaites.</w:t>
      </w:r>
    </w:p>
    <w:p w14:paraId="43CC1C09" w14:textId="77777777" w:rsidR="00912BDF" w:rsidRPr="00A913BF" w:rsidRDefault="00912BDF" w:rsidP="00912BDF">
      <w:pPr>
        <w:rPr>
          <w:szCs w:val="22"/>
        </w:rPr>
      </w:pPr>
    </w:p>
    <w:p w14:paraId="085C4E8E" w14:textId="77777777" w:rsidR="00912BDF" w:rsidRPr="00A913BF" w:rsidRDefault="00912BDF" w:rsidP="00912BDF">
      <w:pPr>
        <w:rPr>
          <w:szCs w:val="22"/>
        </w:rPr>
      </w:pPr>
      <w:r w:rsidRPr="00A913BF">
        <w:rPr>
          <w:szCs w:val="22"/>
        </w:rPr>
        <w:t>Vaikus, kurių cirkuliuojančio kraujo tūris gali sumažėti (pvz., vartojančius diuretikų ir ypač turinčius sutrikusią inkstų funkciją), reikia pradėti gydyti Atacand atidžiai stebint gydytojui. Būtina įvertinti, ar pradinė dozė neturėtų būti mažesnė už aukščiau nurodytą įprastinę (žr. 4.4 skyrių).</w:t>
      </w:r>
    </w:p>
    <w:p w14:paraId="583E436C" w14:textId="77777777" w:rsidR="00912BDF" w:rsidRPr="00A913BF" w:rsidRDefault="00912BDF" w:rsidP="00912BDF">
      <w:pPr>
        <w:rPr>
          <w:szCs w:val="22"/>
        </w:rPr>
      </w:pPr>
    </w:p>
    <w:p w14:paraId="67AD7C05" w14:textId="77777777" w:rsidR="00912BDF" w:rsidRPr="00A913BF" w:rsidRDefault="00912BDF" w:rsidP="00912BDF">
      <w:pPr>
        <w:rPr>
          <w:szCs w:val="22"/>
        </w:rPr>
      </w:pPr>
      <w:r w:rsidRPr="00A913BF">
        <w:rPr>
          <w:szCs w:val="22"/>
        </w:rPr>
        <w:t>Atacand poveikis vaikams, kurių glomerulų filtracijos greitis mažesnis kaip 30 ml/min./1,73 m</w:t>
      </w:r>
      <w:r w:rsidRPr="00A913BF">
        <w:rPr>
          <w:szCs w:val="22"/>
          <w:vertAlign w:val="superscript"/>
        </w:rPr>
        <w:t>2</w:t>
      </w:r>
      <w:r w:rsidRPr="00A913BF">
        <w:rPr>
          <w:szCs w:val="22"/>
        </w:rPr>
        <w:t>, netirtas (žr. 4.4 skyrių).</w:t>
      </w:r>
    </w:p>
    <w:p w14:paraId="057BBA57" w14:textId="77777777" w:rsidR="00912BDF" w:rsidRPr="00A913BF" w:rsidRDefault="00912BDF" w:rsidP="00912BDF">
      <w:pPr>
        <w:rPr>
          <w:szCs w:val="22"/>
        </w:rPr>
      </w:pPr>
    </w:p>
    <w:p w14:paraId="76A84C02" w14:textId="77777777" w:rsidR="00912BDF" w:rsidRPr="00A913BF" w:rsidRDefault="00912BDF" w:rsidP="00912BDF">
      <w:pPr>
        <w:rPr>
          <w:szCs w:val="22"/>
        </w:rPr>
      </w:pPr>
      <w:r w:rsidRPr="00A913BF">
        <w:rPr>
          <w:i/>
          <w:iCs/>
          <w:szCs w:val="22"/>
        </w:rPr>
        <w:lastRenderedPageBreak/>
        <w:t>Juodaodžiams vaikams</w:t>
      </w:r>
    </w:p>
    <w:p w14:paraId="3178CF9B" w14:textId="77777777" w:rsidR="00912BDF" w:rsidRPr="00A913BF" w:rsidRDefault="00912BDF" w:rsidP="00912BDF">
      <w:pPr>
        <w:rPr>
          <w:szCs w:val="22"/>
        </w:rPr>
      </w:pPr>
      <w:r w:rsidRPr="00A913BF">
        <w:rPr>
          <w:szCs w:val="22"/>
        </w:rPr>
        <w:t>Juodaodžiams pacientams kandesartano antihipertenzinis poveikis yra silpnesnis negu kitiems (žr. 5.1 skyrių).</w:t>
      </w:r>
    </w:p>
    <w:p w14:paraId="02C12FED" w14:textId="77777777" w:rsidR="00912BDF" w:rsidRPr="00A913BF" w:rsidRDefault="00912BDF" w:rsidP="00912BDF">
      <w:pPr>
        <w:rPr>
          <w:szCs w:val="22"/>
        </w:rPr>
      </w:pPr>
    </w:p>
    <w:p w14:paraId="48583691" w14:textId="77777777" w:rsidR="00912BDF" w:rsidRPr="00A913BF" w:rsidRDefault="00912BDF" w:rsidP="00912BDF">
      <w:pPr>
        <w:rPr>
          <w:szCs w:val="22"/>
        </w:rPr>
      </w:pPr>
      <w:r w:rsidRPr="00A913BF">
        <w:rPr>
          <w:i/>
          <w:szCs w:val="22"/>
        </w:rPr>
        <w:t>Vaikams iki 6 metų</w:t>
      </w:r>
    </w:p>
    <w:p w14:paraId="7B323D9A" w14:textId="77777777" w:rsidR="00912BDF" w:rsidRPr="00A913BF" w:rsidRDefault="00912BDF" w:rsidP="00912BDF">
      <w:pPr>
        <w:numPr>
          <w:ilvl w:val="0"/>
          <w:numId w:val="13"/>
        </w:numPr>
        <w:rPr>
          <w:szCs w:val="22"/>
        </w:rPr>
      </w:pPr>
      <w:r w:rsidRPr="00A913BF">
        <w:rPr>
          <w:szCs w:val="22"/>
        </w:rPr>
        <w:t xml:space="preserve">Saugumas ir veiksmingumas vaikams nuo 1 iki &lt; 6 metų neištirti. Turimi duomenys pateikiami 5.1 skyriuje, tačiau dozavimo rekomendacijų pateikti negalima. </w:t>
      </w:r>
    </w:p>
    <w:p w14:paraId="5172477D" w14:textId="77777777" w:rsidR="00912BDF" w:rsidRPr="00A913BF" w:rsidRDefault="00912BDF" w:rsidP="00912BDF">
      <w:pPr>
        <w:numPr>
          <w:ilvl w:val="0"/>
          <w:numId w:val="13"/>
        </w:numPr>
        <w:rPr>
          <w:szCs w:val="22"/>
        </w:rPr>
      </w:pPr>
      <w:r w:rsidRPr="00A913BF">
        <w:rPr>
          <w:szCs w:val="22"/>
        </w:rPr>
        <w:t>Vaikams iki 1 metų Atacand vartoti negalima (žr. 4.3 skyrių).</w:t>
      </w:r>
    </w:p>
    <w:p w14:paraId="282D5AB5" w14:textId="77777777" w:rsidR="00912BDF" w:rsidRPr="00A913BF" w:rsidRDefault="00912BDF" w:rsidP="00912BDF">
      <w:pPr>
        <w:rPr>
          <w:szCs w:val="22"/>
        </w:rPr>
      </w:pPr>
    </w:p>
    <w:p w14:paraId="6EFD927D" w14:textId="77777777" w:rsidR="00912BDF" w:rsidRPr="00A913BF" w:rsidRDefault="00912BDF" w:rsidP="00912BDF">
      <w:pPr>
        <w:rPr>
          <w:szCs w:val="22"/>
          <w:u w:val="single"/>
        </w:rPr>
      </w:pPr>
      <w:r w:rsidRPr="00A913BF">
        <w:rPr>
          <w:szCs w:val="22"/>
          <w:u w:val="single"/>
        </w:rPr>
        <w:t>Dozavimas širdies nepakankamumu sergantiems pacientams</w:t>
      </w:r>
    </w:p>
    <w:p w14:paraId="10E9C338" w14:textId="77777777" w:rsidR="00912BDF" w:rsidRPr="00A913BF" w:rsidRDefault="00912BDF" w:rsidP="00912BDF">
      <w:pPr>
        <w:rPr>
          <w:szCs w:val="22"/>
        </w:rPr>
      </w:pPr>
      <w:r w:rsidRPr="00A913BF">
        <w:rPr>
          <w:szCs w:val="22"/>
        </w:rPr>
        <w:t>Įprasta rekomenduojama pradinė Atacand dozė – 4 mg 1 kartą per parą. Ji didinama iki tikslinės maksimalios (32 mg 1 kartą per parą) arba didžiausios toleruojamos dozę dvigubinant ne dažniau kaip kas 2 savaites (žr. 4.4 skyrių). Tiriant širdies nepakankamumu sergančius pacientus, visada reikia ištirti ir inkstų funkciją (įskaitant kreatinino ir kalio koncentracijų serume sekimą). Atacand</w:t>
      </w:r>
      <w:r w:rsidRPr="00A913BF">
        <w:rPr>
          <w:i/>
          <w:szCs w:val="22"/>
        </w:rPr>
        <w:t xml:space="preserve"> </w:t>
      </w:r>
      <w:r w:rsidRPr="00A913BF">
        <w:rPr>
          <w:szCs w:val="22"/>
        </w:rPr>
        <w:t xml:space="preserve">galima vartoti su kitais širdies nepakankamumui gydyti skirtais vaistiniais preparatais, įskaitant AKF inhibitorius, beta adrenoblokatorius, diuretikus ir rusmenės (Digitalis) glikozidus, arba šių vaistinių preparatų deriniais. Atacand gali būti skiriamas kartu su AKF inhibitoriumi pacientams, sergantiems simptominiu širdies nepakankamumu, nepaisant optimalaus standartinio širdies nepakankamumo gydymo, kai netoleruojami mineralokortikoidinių receptorių antagonistai. AKF inhibitoriaus, kalį organizme sulaikančio diuretiko ir Atacand derinio skirti nerekomenduojama, tačiau, jei reikia, jis gali būti skiriamas tik atidžiai įvertinus galimą naudą ir riziką </w:t>
      </w:r>
      <w:r w:rsidRPr="00A913BF">
        <w:rPr>
          <w:rFonts w:eastAsia="Batang"/>
          <w:szCs w:val="22"/>
        </w:rPr>
        <w:t>(žr. 4.4, 4.8 ir 5.1 skyrius)</w:t>
      </w:r>
      <w:r w:rsidRPr="00A913BF">
        <w:rPr>
          <w:szCs w:val="22"/>
        </w:rPr>
        <w:t>.</w:t>
      </w:r>
    </w:p>
    <w:p w14:paraId="72F2EDEB" w14:textId="77777777" w:rsidR="00912BDF" w:rsidRPr="00A913BF" w:rsidRDefault="00912BDF" w:rsidP="00912BDF">
      <w:pPr>
        <w:rPr>
          <w:szCs w:val="22"/>
        </w:rPr>
      </w:pPr>
    </w:p>
    <w:p w14:paraId="6C9E4183" w14:textId="77777777" w:rsidR="00912BDF" w:rsidRPr="00A913BF" w:rsidRDefault="00912BDF" w:rsidP="00912BDF">
      <w:pPr>
        <w:rPr>
          <w:i/>
          <w:iCs/>
          <w:szCs w:val="22"/>
        </w:rPr>
      </w:pPr>
      <w:r w:rsidRPr="00A913BF">
        <w:rPr>
          <w:i/>
          <w:iCs/>
          <w:szCs w:val="22"/>
        </w:rPr>
        <w:t>Ypatingos pacientų populiacijos</w:t>
      </w:r>
    </w:p>
    <w:p w14:paraId="0E442339" w14:textId="77777777" w:rsidR="00912BDF" w:rsidRPr="00A913BF" w:rsidRDefault="00912BDF" w:rsidP="00912BDF">
      <w:pPr>
        <w:rPr>
          <w:szCs w:val="22"/>
        </w:rPr>
      </w:pPr>
      <w:r w:rsidRPr="00A913BF">
        <w:rPr>
          <w:szCs w:val="22"/>
        </w:rPr>
        <w:t>Senyviems žmonėms, pacientams, kurių cirkuliuojančio kraujo tūris sumažėjęs arba sutrikusi inkstų funkcija arba kuriems yra lengvo ar vidutinio laipsnio kepenų funkcijos sutrikimas, pradinės dozės koreguoti nereikia.</w:t>
      </w:r>
    </w:p>
    <w:p w14:paraId="6707F315" w14:textId="77777777" w:rsidR="00912BDF" w:rsidRPr="00A913BF" w:rsidRDefault="00912BDF" w:rsidP="00912BDF">
      <w:pPr>
        <w:rPr>
          <w:szCs w:val="22"/>
        </w:rPr>
      </w:pPr>
    </w:p>
    <w:p w14:paraId="3705615E" w14:textId="77777777" w:rsidR="00912BDF" w:rsidRPr="00A913BF" w:rsidRDefault="00912BDF" w:rsidP="00912BDF">
      <w:pPr>
        <w:rPr>
          <w:i/>
          <w:szCs w:val="22"/>
        </w:rPr>
      </w:pPr>
      <w:r w:rsidRPr="00A913BF">
        <w:rPr>
          <w:i/>
          <w:szCs w:val="22"/>
        </w:rPr>
        <w:t>Vaikų populiacija</w:t>
      </w:r>
    </w:p>
    <w:p w14:paraId="64752CD6" w14:textId="77777777" w:rsidR="00912BDF" w:rsidRPr="00A913BF" w:rsidRDefault="00912BDF" w:rsidP="00912BDF">
      <w:pPr>
        <w:rPr>
          <w:szCs w:val="22"/>
        </w:rPr>
      </w:pPr>
      <w:r w:rsidRPr="00A913BF">
        <w:rPr>
          <w:szCs w:val="22"/>
        </w:rPr>
        <w:t>Atacand saugumas ir veiksmingumas vaikų iki 18 metų širdies nepakankamumui gydyti neištirtas. Duomenų nėra.</w:t>
      </w:r>
    </w:p>
    <w:p w14:paraId="7E45F7D6" w14:textId="77777777" w:rsidR="00912BDF" w:rsidRPr="00A913BF" w:rsidRDefault="00912BDF" w:rsidP="00912BDF">
      <w:pPr>
        <w:rPr>
          <w:szCs w:val="22"/>
        </w:rPr>
      </w:pPr>
    </w:p>
    <w:p w14:paraId="5D41D4BC" w14:textId="77777777" w:rsidR="00912BDF" w:rsidRPr="00A913BF" w:rsidRDefault="00912BDF" w:rsidP="00912BDF">
      <w:pPr>
        <w:rPr>
          <w:szCs w:val="22"/>
          <w:u w:val="single"/>
        </w:rPr>
      </w:pPr>
      <w:r w:rsidRPr="00A913BF">
        <w:rPr>
          <w:szCs w:val="22"/>
          <w:u w:val="single"/>
        </w:rPr>
        <w:t>Vartojimo metodas</w:t>
      </w:r>
    </w:p>
    <w:p w14:paraId="418B2436" w14:textId="77777777" w:rsidR="00912BDF" w:rsidRPr="00A913BF" w:rsidRDefault="00912BDF" w:rsidP="00912BDF">
      <w:pPr>
        <w:rPr>
          <w:szCs w:val="22"/>
        </w:rPr>
      </w:pPr>
    </w:p>
    <w:p w14:paraId="11F90562" w14:textId="77777777" w:rsidR="00912BDF" w:rsidRPr="00A913BF" w:rsidRDefault="00912BDF" w:rsidP="00912BDF">
      <w:pPr>
        <w:rPr>
          <w:szCs w:val="22"/>
        </w:rPr>
      </w:pPr>
      <w:r w:rsidRPr="00A913BF">
        <w:rPr>
          <w:szCs w:val="22"/>
        </w:rPr>
        <w:t>Vartoti per burną.</w:t>
      </w:r>
    </w:p>
    <w:p w14:paraId="19504B4F" w14:textId="77777777" w:rsidR="00912BDF" w:rsidRPr="00A913BF" w:rsidRDefault="00912BDF" w:rsidP="00912BDF">
      <w:pPr>
        <w:rPr>
          <w:szCs w:val="22"/>
        </w:rPr>
      </w:pPr>
      <w:r w:rsidRPr="00A913BF">
        <w:rPr>
          <w:szCs w:val="22"/>
        </w:rPr>
        <w:t>Atacand reikia gerti 1 kartą per parą valgant arba kitu laiku.</w:t>
      </w:r>
    </w:p>
    <w:p w14:paraId="3865CCD9" w14:textId="77777777" w:rsidR="00912BDF" w:rsidRPr="00A913BF" w:rsidRDefault="00912BDF" w:rsidP="00912BDF">
      <w:pPr>
        <w:rPr>
          <w:i/>
          <w:szCs w:val="22"/>
        </w:rPr>
      </w:pPr>
      <w:r w:rsidRPr="00A913BF">
        <w:rPr>
          <w:szCs w:val="22"/>
        </w:rPr>
        <w:t>Maistas įtakos kandesartano biologiniam prieinamumui neturi.</w:t>
      </w:r>
    </w:p>
    <w:p w14:paraId="34706EAF" w14:textId="77777777" w:rsidR="00912BDF" w:rsidRPr="00A913BF" w:rsidRDefault="00912BDF" w:rsidP="00912BDF">
      <w:pPr>
        <w:ind w:left="567" w:hanging="567"/>
        <w:rPr>
          <w:szCs w:val="22"/>
        </w:rPr>
      </w:pPr>
    </w:p>
    <w:p w14:paraId="5852FED9" w14:textId="77777777" w:rsidR="00912BDF" w:rsidRPr="00A913BF" w:rsidRDefault="00912BDF" w:rsidP="00912BDF">
      <w:pPr>
        <w:ind w:left="567" w:hanging="567"/>
        <w:rPr>
          <w:b/>
          <w:szCs w:val="22"/>
        </w:rPr>
      </w:pPr>
      <w:r w:rsidRPr="00A913BF">
        <w:rPr>
          <w:b/>
          <w:szCs w:val="22"/>
        </w:rPr>
        <w:t>4.3</w:t>
      </w:r>
      <w:r w:rsidRPr="00A913BF">
        <w:rPr>
          <w:b/>
          <w:szCs w:val="22"/>
        </w:rPr>
        <w:tab/>
        <w:t>Kontraindikacijos</w:t>
      </w:r>
    </w:p>
    <w:p w14:paraId="0307AB6B" w14:textId="77777777" w:rsidR="00912BDF" w:rsidRPr="00A913BF" w:rsidRDefault="00912BDF" w:rsidP="00912BDF">
      <w:pPr>
        <w:ind w:left="567" w:hanging="567"/>
        <w:rPr>
          <w:szCs w:val="22"/>
        </w:rPr>
      </w:pPr>
    </w:p>
    <w:p w14:paraId="5847E084" w14:textId="77777777" w:rsidR="00912BDF" w:rsidRPr="00A913BF" w:rsidRDefault="00912BDF" w:rsidP="00912BDF">
      <w:pPr>
        <w:numPr>
          <w:ilvl w:val="0"/>
          <w:numId w:val="1"/>
        </w:numPr>
        <w:rPr>
          <w:szCs w:val="22"/>
        </w:rPr>
      </w:pPr>
      <w:r w:rsidRPr="00A913BF">
        <w:rPr>
          <w:szCs w:val="22"/>
        </w:rPr>
        <w:t>Padidėjęs jautrumas kandesartano cileksetilui arba bet kuriai 6.1 skyriuje nurodytai šio vaistinio preparato pagalbinei medžiagai.</w:t>
      </w:r>
    </w:p>
    <w:p w14:paraId="587D0E15" w14:textId="77777777" w:rsidR="00912BDF" w:rsidRPr="00A913BF" w:rsidRDefault="00912BDF" w:rsidP="00912BDF">
      <w:pPr>
        <w:numPr>
          <w:ilvl w:val="0"/>
          <w:numId w:val="1"/>
        </w:numPr>
        <w:rPr>
          <w:szCs w:val="22"/>
        </w:rPr>
      </w:pPr>
      <w:r w:rsidRPr="00A913BF">
        <w:rPr>
          <w:szCs w:val="22"/>
        </w:rPr>
        <w:t>Antras ir trečias nėštumo trimestrai (žr. 4.4 ir 4.6 skyrius).</w:t>
      </w:r>
    </w:p>
    <w:p w14:paraId="50921C36" w14:textId="77777777" w:rsidR="00912BDF" w:rsidRPr="00A913BF" w:rsidRDefault="00912BDF" w:rsidP="00912BDF">
      <w:pPr>
        <w:numPr>
          <w:ilvl w:val="0"/>
          <w:numId w:val="1"/>
        </w:numPr>
        <w:rPr>
          <w:szCs w:val="22"/>
        </w:rPr>
      </w:pPr>
      <w:r w:rsidRPr="00A913BF">
        <w:rPr>
          <w:szCs w:val="22"/>
        </w:rPr>
        <w:t>Sunkus kepenų funkcijos sutrikimas ir (ar) tulžies stazė.</w:t>
      </w:r>
    </w:p>
    <w:p w14:paraId="105122A1" w14:textId="77777777" w:rsidR="00912BDF" w:rsidRPr="00A913BF" w:rsidRDefault="00912BDF" w:rsidP="00912BDF">
      <w:pPr>
        <w:numPr>
          <w:ilvl w:val="0"/>
          <w:numId w:val="1"/>
        </w:numPr>
        <w:rPr>
          <w:szCs w:val="22"/>
        </w:rPr>
      </w:pPr>
      <w:r w:rsidRPr="00A913BF">
        <w:rPr>
          <w:szCs w:val="22"/>
        </w:rPr>
        <w:t>Jaunesniems kaip 1 metų vaikams (žr. 5.3 skyrių).</w:t>
      </w:r>
    </w:p>
    <w:p w14:paraId="13AA3A41" w14:textId="77777777" w:rsidR="00912BDF" w:rsidRPr="00A913BF" w:rsidRDefault="00912BDF" w:rsidP="00912BDF">
      <w:pPr>
        <w:numPr>
          <w:ilvl w:val="0"/>
          <w:numId w:val="1"/>
        </w:numPr>
        <w:rPr>
          <w:szCs w:val="22"/>
        </w:rPr>
      </w:pPr>
      <w:r w:rsidRPr="00A913BF">
        <w:rPr>
          <w:rFonts w:eastAsia="Batang"/>
          <w:szCs w:val="22"/>
        </w:rPr>
        <w:t>Pacientams, kurie serga cukriniu diabetu arba kurių inkstų funkcija sutrikusi (GFG &lt; 60 ml/min/1,73 m</w:t>
      </w:r>
      <w:r w:rsidRPr="00A913BF">
        <w:rPr>
          <w:rFonts w:eastAsia="Batang"/>
          <w:szCs w:val="22"/>
          <w:vertAlign w:val="superscript"/>
        </w:rPr>
        <w:t>2</w:t>
      </w:r>
      <w:r w:rsidRPr="00A913BF">
        <w:rPr>
          <w:rFonts w:eastAsia="Batang"/>
          <w:szCs w:val="22"/>
        </w:rPr>
        <w:t>), Atacand negalima vartoti kartu su preparatais, kurių sudėtyje yra aliskireno (žr. 4.5 ir 5.1 skyrius).</w:t>
      </w:r>
    </w:p>
    <w:p w14:paraId="04899932" w14:textId="77777777" w:rsidR="00912BDF" w:rsidRPr="00A913BF" w:rsidRDefault="00912BDF" w:rsidP="00912BDF">
      <w:pPr>
        <w:rPr>
          <w:szCs w:val="22"/>
        </w:rPr>
      </w:pPr>
    </w:p>
    <w:p w14:paraId="2DC6D4E1" w14:textId="77777777" w:rsidR="00912BDF" w:rsidRPr="00A913BF" w:rsidRDefault="00912BDF" w:rsidP="00912BDF">
      <w:pPr>
        <w:ind w:left="567" w:hanging="567"/>
        <w:rPr>
          <w:b/>
          <w:szCs w:val="22"/>
        </w:rPr>
      </w:pPr>
      <w:r w:rsidRPr="00A913BF">
        <w:rPr>
          <w:b/>
          <w:szCs w:val="22"/>
        </w:rPr>
        <w:t>4.4</w:t>
      </w:r>
      <w:r w:rsidRPr="00A913BF">
        <w:rPr>
          <w:b/>
          <w:szCs w:val="22"/>
        </w:rPr>
        <w:tab/>
        <w:t>Specialūs įspėjimai ir atsargumo priemonės</w:t>
      </w:r>
    </w:p>
    <w:p w14:paraId="3FE17AAE" w14:textId="77777777" w:rsidR="00912BDF" w:rsidRPr="00A913BF" w:rsidRDefault="00912BDF" w:rsidP="00912BDF">
      <w:pPr>
        <w:ind w:left="567" w:hanging="567"/>
        <w:rPr>
          <w:szCs w:val="22"/>
        </w:rPr>
      </w:pPr>
    </w:p>
    <w:p w14:paraId="482C2EDE" w14:textId="77777777" w:rsidR="00912BDF" w:rsidRPr="00A913BF" w:rsidRDefault="00912BDF" w:rsidP="00912BDF">
      <w:pPr>
        <w:ind w:left="567" w:hanging="567"/>
        <w:rPr>
          <w:szCs w:val="22"/>
          <w:u w:val="single"/>
        </w:rPr>
      </w:pPr>
      <w:r w:rsidRPr="00A913BF">
        <w:rPr>
          <w:szCs w:val="22"/>
          <w:u w:val="single"/>
        </w:rPr>
        <w:t>Dvigubas renino, angiotenzino ir aldosterono sistemos (RAAS) nuslopinimas</w:t>
      </w:r>
    </w:p>
    <w:p w14:paraId="620EC354" w14:textId="77777777" w:rsidR="00912BDF" w:rsidRPr="00A913BF" w:rsidRDefault="00912BDF" w:rsidP="00912BDF">
      <w:pPr>
        <w:rPr>
          <w:szCs w:val="22"/>
        </w:rPr>
      </w:pPr>
      <w:r w:rsidRPr="00A913BF">
        <w:rPr>
          <w:szCs w:val="22"/>
        </w:rPr>
        <w:t>Turima įrodymų, kad kartu vartojant AKF inhibitorius, angiotenzino II receptorių blokatorius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6B684EB2" w14:textId="77777777" w:rsidR="00912BDF" w:rsidRPr="00A913BF" w:rsidRDefault="00912BDF" w:rsidP="00912BDF">
      <w:pPr>
        <w:rPr>
          <w:szCs w:val="22"/>
        </w:rPr>
      </w:pPr>
      <w:r w:rsidRPr="00A913BF">
        <w:rPr>
          <w:szCs w:val="22"/>
        </w:rPr>
        <w:lastRenderedPageBreak/>
        <w:t>Vis dėlto, jei dvigubas nuslopinimas laikomas absoliučiai būtinu, šis gydymas turi būti atliekamas tik prižiūrint specialistams ir dažnai bei atidžiai tiriant inkstų funkciją, elektrolitų koncentraciją bei kraujospūdį.</w:t>
      </w:r>
    </w:p>
    <w:p w14:paraId="1B9FF30F" w14:textId="77777777" w:rsidR="00912BDF" w:rsidRPr="00A913BF" w:rsidRDefault="00912BDF" w:rsidP="00912BDF">
      <w:pPr>
        <w:rPr>
          <w:szCs w:val="22"/>
        </w:rPr>
      </w:pPr>
      <w:r w:rsidRPr="00A913BF">
        <w:rPr>
          <w:szCs w:val="22"/>
        </w:rPr>
        <w:t>Pacientams, sergantiems diabetine nefropatija, negalima kartu vartoti AKF inhibitorių ir angiotenzino II receptorių blokatorių.</w:t>
      </w:r>
    </w:p>
    <w:p w14:paraId="623C4B9B" w14:textId="77777777" w:rsidR="00912BDF" w:rsidRPr="00A913BF" w:rsidRDefault="00912BDF" w:rsidP="00912BDF">
      <w:pPr>
        <w:ind w:left="567" w:hanging="567"/>
        <w:rPr>
          <w:szCs w:val="22"/>
        </w:rPr>
      </w:pPr>
    </w:p>
    <w:p w14:paraId="3E2D6C40" w14:textId="77777777" w:rsidR="00912BDF" w:rsidRPr="00A913BF" w:rsidRDefault="00912BDF" w:rsidP="00912BDF">
      <w:pPr>
        <w:rPr>
          <w:iCs/>
          <w:szCs w:val="22"/>
          <w:u w:val="single"/>
        </w:rPr>
      </w:pPr>
      <w:r w:rsidRPr="00A913BF">
        <w:rPr>
          <w:iCs/>
          <w:szCs w:val="22"/>
          <w:u w:val="single"/>
        </w:rPr>
        <w:t>Inkstų nepakankamumas</w:t>
      </w:r>
    </w:p>
    <w:p w14:paraId="6F9E9F26" w14:textId="77777777" w:rsidR="00912BDF" w:rsidRPr="00A913BF" w:rsidRDefault="00912BDF" w:rsidP="00912BDF">
      <w:pPr>
        <w:rPr>
          <w:szCs w:val="22"/>
        </w:rPr>
      </w:pPr>
      <w:r w:rsidRPr="00A913BF">
        <w:rPr>
          <w:szCs w:val="22"/>
        </w:rPr>
        <w:t>Vartojant Atacand (kaip ir kitus renino, angiotenzino ir aldosterono sistemą slopinančius preparatus), galima tikėtis sutrikimui jautrių pacientų inkstų funkcijos pokyčių.</w:t>
      </w:r>
    </w:p>
    <w:p w14:paraId="334C7515" w14:textId="77777777" w:rsidR="00912BDF" w:rsidRPr="00A913BF" w:rsidRDefault="00912BDF" w:rsidP="00912BDF">
      <w:pPr>
        <w:rPr>
          <w:szCs w:val="22"/>
        </w:rPr>
      </w:pPr>
    </w:p>
    <w:p w14:paraId="17347F46" w14:textId="77777777" w:rsidR="00912BDF" w:rsidRPr="00A913BF" w:rsidRDefault="00912BDF" w:rsidP="00912BDF">
      <w:pPr>
        <w:rPr>
          <w:szCs w:val="22"/>
        </w:rPr>
      </w:pPr>
      <w:r w:rsidRPr="00A913BF">
        <w:rPr>
          <w:szCs w:val="22"/>
        </w:rPr>
        <w:t>Jei Atacand vartojantis pacientas serga hipertenzija ir inkstų nepakankamumu, rekomenduojama periodiškai tirti kalio ir kreatinino koncentraciją serume. Labai sunkiu ar galutinės stadijos inkstų nepakankamumu (kreatinino klirensas mažesnis kaip 15 ml/min.) sergantiems pacientams šio vaistinio preparato vartojimo patirties yra mažai. Jiems Atacand dozę reikia didinti atsargiai, nuolat matuojant kraujospūdį.</w:t>
      </w:r>
    </w:p>
    <w:p w14:paraId="54034F55" w14:textId="77777777" w:rsidR="00912BDF" w:rsidRPr="00A913BF" w:rsidRDefault="00912BDF" w:rsidP="00912BDF">
      <w:pPr>
        <w:rPr>
          <w:szCs w:val="22"/>
        </w:rPr>
      </w:pPr>
    </w:p>
    <w:p w14:paraId="1E0764D8" w14:textId="77777777" w:rsidR="00912BDF" w:rsidRPr="00A913BF" w:rsidRDefault="00912BDF" w:rsidP="00912BDF">
      <w:pPr>
        <w:rPr>
          <w:szCs w:val="22"/>
        </w:rPr>
      </w:pPr>
      <w:r w:rsidRPr="00A913BF">
        <w:rPr>
          <w:szCs w:val="22"/>
        </w:rPr>
        <w:t>Tiriant širdies nepakankamumu sergančius pacientus (ypač 75 metų ir vyresnio amžiaus senyvus bei sergančius inkstų nepakankamumu), periodiškai reikia ištirti ir inkstų funkciją. Didinant Atacand dozę, rekomenduojama tirti kreatinino ir kalio koncentraciją serume. Širdies nepakankamumo gydymo klinikiniuose tyrimuose nedalyvavo pacientai, kurių serume kreatinino koncentracija viršijo 265 </w:t>
      </w:r>
      <w:r w:rsidRPr="00A913BF">
        <w:rPr>
          <w:szCs w:val="22"/>
        </w:rPr>
        <w:sym w:font="Symbol" w:char="F06D"/>
      </w:r>
      <w:r w:rsidRPr="00A913BF">
        <w:rPr>
          <w:szCs w:val="22"/>
        </w:rPr>
        <w:t>mol/l (</w:t>
      </w:r>
      <w:r w:rsidRPr="00A913BF">
        <w:rPr>
          <w:szCs w:val="22"/>
        </w:rPr>
        <w:sym w:font="Symbol" w:char="F03E"/>
      </w:r>
      <w:r w:rsidRPr="00A913BF">
        <w:rPr>
          <w:szCs w:val="22"/>
        </w:rPr>
        <w:t> 3 mg/dl).</w:t>
      </w:r>
    </w:p>
    <w:p w14:paraId="1CB47AB4" w14:textId="77777777" w:rsidR="00912BDF" w:rsidRPr="00A913BF" w:rsidRDefault="00912BDF" w:rsidP="00912BDF">
      <w:pPr>
        <w:rPr>
          <w:szCs w:val="22"/>
        </w:rPr>
      </w:pPr>
    </w:p>
    <w:p w14:paraId="52D402C3" w14:textId="77777777" w:rsidR="00912BDF" w:rsidRPr="00A913BF" w:rsidRDefault="00912BDF" w:rsidP="00912BDF">
      <w:pPr>
        <w:rPr>
          <w:szCs w:val="22"/>
        </w:rPr>
      </w:pPr>
      <w:r w:rsidRPr="00A913BF">
        <w:rPr>
          <w:iCs/>
          <w:szCs w:val="22"/>
          <w:u w:val="single"/>
        </w:rPr>
        <w:t>Vartojimas vaikams, kurių inkstų funkcija sutrikusi</w:t>
      </w:r>
    </w:p>
    <w:p w14:paraId="2A7AD599" w14:textId="77777777" w:rsidR="00912BDF" w:rsidRPr="00A913BF" w:rsidRDefault="00912BDF" w:rsidP="00912BDF">
      <w:pPr>
        <w:rPr>
          <w:szCs w:val="22"/>
        </w:rPr>
      </w:pPr>
      <w:r w:rsidRPr="00A913BF">
        <w:rPr>
          <w:szCs w:val="22"/>
        </w:rPr>
        <w:t>Atacand poveikis vaikams, kurių glomerulų filtracijos greitis mažesnis kaip 30 ml/min./1,73 m</w:t>
      </w:r>
      <w:r w:rsidRPr="00A913BF">
        <w:rPr>
          <w:szCs w:val="22"/>
          <w:vertAlign w:val="superscript"/>
        </w:rPr>
        <w:t>2</w:t>
      </w:r>
      <w:r w:rsidRPr="00A913BF">
        <w:rPr>
          <w:szCs w:val="22"/>
        </w:rPr>
        <w:t>, netirtas (žr. 4.2 skyrių).</w:t>
      </w:r>
    </w:p>
    <w:p w14:paraId="4561117E" w14:textId="77777777" w:rsidR="00912BDF" w:rsidRPr="00A913BF" w:rsidRDefault="00912BDF" w:rsidP="00912BDF">
      <w:pPr>
        <w:rPr>
          <w:szCs w:val="22"/>
        </w:rPr>
      </w:pPr>
    </w:p>
    <w:p w14:paraId="37E8F07B" w14:textId="77777777" w:rsidR="00912BDF" w:rsidRPr="00A913BF" w:rsidRDefault="00912BDF" w:rsidP="00912BDF">
      <w:pPr>
        <w:rPr>
          <w:iCs/>
          <w:szCs w:val="22"/>
          <w:u w:val="single"/>
        </w:rPr>
      </w:pPr>
      <w:r w:rsidRPr="00A913BF">
        <w:rPr>
          <w:iCs/>
          <w:szCs w:val="22"/>
          <w:u w:val="single"/>
        </w:rPr>
        <w:t>Vartojimas kartu su AKF inhibitoriumi esant širdies nepakankamumui</w:t>
      </w:r>
    </w:p>
    <w:p w14:paraId="7E5E7320" w14:textId="77777777" w:rsidR="00912BDF" w:rsidRPr="00A913BF" w:rsidRDefault="00912BDF" w:rsidP="00912BDF">
      <w:pPr>
        <w:rPr>
          <w:szCs w:val="22"/>
        </w:rPr>
      </w:pPr>
      <w:r w:rsidRPr="00A913BF">
        <w:rPr>
          <w:szCs w:val="22"/>
        </w:rPr>
        <w:t>Nepageidaujamų reakcijų, ypač hipotenzijos, hiperkalemijos ir inkstų funkcijos susilpnėjimo (įskaitant ūminį inkstų nepakankamumą), rizika gali padidėti Atacand vartojant kartu su AKF inhibitoriumi. Taip pat nerekomenduojama skirti trijų vaistinių preparatų – AKF inhibitoriaus, mineralokortikoidinių receptorių antagonistų ir kandesartano – derinį. Šiuos derinius vartojančius pacientus turi prižiūrėti specialistai, dažnai bei atidžiai tiriantys pacientų inkstų funkciją, elektrolitų koncentraciją ir kraujospūdį.</w:t>
      </w:r>
    </w:p>
    <w:p w14:paraId="087387AB" w14:textId="77777777" w:rsidR="00912BDF" w:rsidRPr="00A913BF" w:rsidRDefault="00912BDF" w:rsidP="00912BDF">
      <w:pPr>
        <w:rPr>
          <w:szCs w:val="22"/>
        </w:rPr>
      </w:pPr>
    </w:p>
    <w:p w14:paraId="5328541B" w14:textId="77777777" w:rsidR="00912BDF" w:rsidRPr="00A913BF" w:rsidRDefault="00912BDF" w:rsidP="00912BDF">
      <w:pPr>
        <w:rPr>
          <w:szCs w:val="22"/>
        </w:rPr>
      </w:pPr>
      <w:r w:rsidRPr="00A913BF">
        <w:rPr>
          <w:szCs w:val="22"/>
        </w:rPr>
        <w:t>Pacientams, sergantiems diabetine nefropatija, negalima kartu vartoti AKF inhibitorių ir angiotenzino II receptorių blokatorių.</w:t>
      </w:r>
    </w:p>
    <w:p w14:paraId="4D2F775C" w14:textId="77777777" w:rsidR="00912BDF" w:rsidRPr="00A913BF" w:rsidRDefault="00912BDF" w:rsidP="00912BDF">
      <w:pPr>
        <w:rPr>
          <w:szCs w:val="22"/>
        </w:rPr>
      </w:pPr>
    </w:p>
    <w:p w14:paraId="3102DF50" w14:textId="77777777" w:rsidR="00912BDF" w:rsidRPr="00A913BF" w:rsidRDefault="00912BDF" w:rsidP="00912BDF">
      <w:pPr>
        <w:rPr>
          <w:iCs/>
          <w:szCs w:val="22"/>
          <w:u w:val="single"/>
        </w:rPr>
      </w:pPr>
      <w:r w:rsidRPr="00A913BF">
        <w:rPr>
          <w:iCs/>
          <w:szCs w:val="22"/>
          <w:u w:val="single"/>
        </w:rPr>
        <w:t>Hemodializė</w:t>
      </w:r>
    </w:p>
    <w:p w14:paraId="563DC033" w14:textId="77777777" w:rsidR="00912BDF" w:rsidRPr="00A913BF" w:rsidRDefault="00912BDF" w:rsidP="00912BDF">
      <w:pPr>
        <w:rPr>
          <w:szCs w:val="22"/>
        </w:rPr>
      </w:pPr>
      <w:r w:rsidRPr="00A913BF">
        <w:rPr>
          <w:szCs w:val="22"/>
        </w:rPr>
        <w:t>Dializės metu dėl sumažėjusio plazmos tūrio bei renino, angiotenzino ir aldosterono sistemos suaktyvėjimo kraujospūdis gali būti ypač jautrus AT</w:t>
      </w:r>
      <w:r w:rsidRPr="00A913BF">
        <w:rPr>
          <w:szCs w:val="22"/>
          <w:vertAlign w:val="subscript"/>
        </w:rPr>
        <w:t>1</w:t>
      </w:r>
      <w:r w:rsidRPr="00A913BF">
        <w:rPr>
          <w:szCs w:val="22"/>
        </w:rPr>
        <w:t xml:space="preserve"> receptorių blokavimui. Dėl to hemodializuojamiems pacientams Atacand dozę reikia didinti labai atsargiai, nuolat matuojant kraujospūdį.</w:t>
      </w:r>
    </w:p>
    <w:p w14:paraId="1A0350F4" w14:textId="77777777" w:rsidR="00912BDF" w:rsidRPr="00A913BF" w:rsidRDefault="00912BDF" w:rsidP="00912BDF">
      <w:pPr>
        <w:rPr>
          <w:szCs w:val="22"/>
        </w:rPr>
      </w:pPr>
    </w:p>
    <w:p w14:paraId="0C454DC0" w14:textId="77777777" w:rsidR="00912BDF" w:rsidRPr="00A913BF" w:rsidRDefault="00912BDF" w:rsidP="00912BDF">
      <w:pPr>
        <w:rPr>
          <w:iCs/>
          <w:szCs w:val="22"/>
          <w:u w:val="single"/>
        </w:rPr>
      </w:pPr>
      <w:r w:rsidRPr="00A913BF">
        <w:rPr>
          <w:iCs/>
          <w:szCs w:val="22"/>
          <w:u w:val="single"/>
        </w:rPr>
        <w:t>Inkstų arterijų stenozė</w:t>
      </w:r>
    </w:p>
    <w:p w14:paraId="59C47F90" w14:textId="77777777" w:rsidR="00912BDF" w:rsidRPr="00A913BF" w:rsidRDefault="00912BDF" w:rsidP="00912BDF">
      <w:pPr>
        <w:rPr>
          <w:szCs w:val="22"/>
        </w:rPr>
      </w:pPr>
      <w:r w:rsidRPr="00A913BF">
        <w:rPr>
          <w:szCs w:val="22"/>
        </w:rPr>
        <w:t>Renino, angiotenzino ir aldosterono sistemą veikiantys vaistiniai preparatai, įskaitant angiotenzino-II receptorių blokatorius, gali sukelti šlapalo ir kreatinino koncentracijos serume padidėjimą pacientams, sergantiems abiejų inkstų arterijų stenoze arba vienintelio funkcionuojančio inksto arterijos stenoze.</w:t>
      </w:r>
    </w:p>
    <w:p w14:paraId="625E95B8" w14:textId="77777777" w:rsidR="00912BDF" w:rsidRPr="00A913BF" w:rsidRDefault="00912BDF" w:rsidP="00912BDF">
      <w:pPr>
        <w:rPr>
          <w:szCs w:val="22"/>
        </w:rPr>
      </w:pPr>
    </w:p>
    <w:p w14:paraId="61A2AEF3" w14:textId="77777777" w:rsidR="00912BDF" w:rsidRPr="00A913BF" w:rsidRDefault="00912BDF" w:rsidP="00912BDF">
      <w:pPr>
        <w:rPr>
          <w:iCs/>
          <w:szCs w:val="22"/>
          <w:u w:val="single"/>
        </w:rPr>
      </w:pPr>
      <w:r w:rsidRPr="00A913BF">
        <w:rPr>
          <w:iCs/>
          <w:szCs w:val="22"/>
          <w:u w:val="single"/>
        </w:rPr>
        <w:t>Inkstų transplantacija</w:t>
      </w:r>
    </w:p>
    <w:p w14:paraId="391E8AD3" w14:textId="77777777" w:rsidR="00912BDF" w:rsidRPr="00A913BF" w:rsidRDefault="00912BDF" w:rsidP="00912BDF">
      <w:pPr>
        <w:rPr>
          <w:szCs w:val="22"/>
        </w:rPr>
      </w:pPr>
      <w:r w:rsidRPr="00A913BF">
        <w:rPr>
          <w:szCs w:val="22"/>
        </w:rPr>
        <w:t>Atacand vartojimo po inkstų transplantacijos klinikinė patirtis yra ribota.</w:t>
      </w:r>
    </w:p>
    <w:p w14:paraId="63C0A5BB" w14:textId="77777777" w:rsidR="00912BDF" w:rsidRPr="00A913BF" w:rsidRDefault="00912BDF" w:rsidP="00912BDF">
      <w:pPr>
        <w:rPr>
          <w:szCs w:val="22"/>
        </w:rPr>
      </w:pPr>
    </w:p>
    <w:p w14:paraId="70A2D20B" w14:textId="77777777" w:rsidR="00912BDF" w:rsidRPr="00A913BF" w:rsidRDefault="00912BDF" w:rsidP="00912BDF">
      <w:pPr>
        <w:rPr>
          <w:iCs/>
          <w:szCs w:val="22"/>
          <w:u w:val="single"/>
        </w:rPr>
      </w:pPr>
      <w:r w:rsidRPr="00A913BF">
        <w:rPr>
          <w:iCs/>
          <w:szCs w:val="22"/>
          <w:u w:val="single"/>
        </w:rPr>
        <w:t>Hipotenzija</w:t>
      </w:r>
    </w:p>
    <w:p w14:paraId="3160EB67" w14:textId="77777777" w:rsidR="00912BDF" w:rsidRPr="00A913BF" w:rsidRDefault="00912BDF" w:rsidP="00912BDF">
      <w:pPr>
        <w:rPr>
          <w:szCs w:val="22"/>
        </w:rPr>
      </w:pPr>
      <w:r w:rsidRPr="00A913BF">
        <w:rPr>
          <w:szCs w:val="22"/>
        </w:rPr>
        <w:t>Širdies nepakankamumu sergantiems pacientams, vartojantiems Atacand, gali pasireikšti hipotenzija. Taip pat ji gali pasireikšti hipertenzija sergantiems pacientams, kurių cirkuliuojančio kraujo tūris yra sumažėjęs, pvz., nuo didelių diuretikų dozių. Tokie pacientai pradedami gydyti atsargiai, o jų kraujo tūrį reikia sureguliuoti.</w:t>
      </w:r>
    </w:p>
    <w:p w14:paraId="6E33AE8C" w14:textId="77777777" w:rsidR="00912BDF" w:rsidRPr="00A913BF" w:rsidRDefault="00912BDF" w:rsidP="00912BDF">
      <w:pPr>
        <w:rPr>
          <w:szCs w:val="22"/>
        </w:rPr>
      </w:pPr>
    </w:p>
    <w:p w14:paraId="4FBC32C9" w14:textId="77777777" w:rsidR="00912BDF" w:rsidRPr="00A913BF" w:rsidRDefault="00912BDF" w:rsidP="00912BDF">
      <w:pPr>
        <w:rPr>
          <w:szCs w:val="22"/>
        </w:rPr>
      </w:pPr>
      <w:r w:rsidRPr="00A913BF">
        <w:rPr>
          <w:szCs w:val="22"/>
        </w:rPr>
        <w:lastRenderedPageBreak/>
        <w:t>Vaikus, kurių cirkuliuojančio kraujo tūris gali sumažėti (pvz., vartojančius diuretikų ir ypač turinčius sutrikusią inkstų funkciją), reikia pradėti gydyti Atacand atidžiai stebint gydytojui. Būtina įvertinti, ar pradinė dozė neturėtų būti mažesnė už aukščiau nurodytą įprastinę (žr. 4.2 skyrių).</w:t>
      </w:r>
    </w:p>
    <w:p w14:paraId="01F521AA" w14:textId="77777777" w:rsidR="00912BDF" w:rsidRPr="00A913BF" w:rsidRDefault="00912BDF" w:rsidP="00912BDF">
      <w:pPr>
        <w:rPr>
          <w:szCs w:val="22"/>
        </w:rPr>
      </w:pPr>
    </w:p>
    <w:p w14:paraId="341925AA" w14:textId="77777777" w:rsidR="00912BDF" w:rsidRPr="00A913BF" w:rsidRDefault="00912BDF" w:rsidP="00912BDF">
      <w:pPr>
        <w:rPr>
          <w:iCs/>
          <w:szCs w:val="22"/>
          <w:u w:val="single"/>
        </w:rPr>
      </w:pPr>
      <w:r w:rsidRPr="00A913BF">
        <w:rPr>
          <w:iCs/>
          <w:szCs w:val="22"/>
          <w:u w:val="single"/>
        </w:rPr>
        <w:t>Anestezija ir operacija</w:t>
      </w:r>
    </w:p>
    <w:p w14:paraId="43C6B95C" w14:textId="77777777" w:rsidR="00912BDF" w:rsidRPr="00A913BF" w:rsidRDefault="00912BDF" w:rsidP="00912BDF">
      <w:pPr>
        <w:rPr>
          <w:szCs w:val="22"/>
        </w:rPr>
      </w:pPr>
      <w:r w:rsidRPr="00A913BF">
        <w:rPr>
          <w:szCs w:val="22"/>
        </w:rPr>
        <w:t>Angiotenzino-II receptorių blokatorių vartojantiems pacientams anestezijos ir operacijos metu dėl renino, angiotenzino ir aldosterono sistemos slopinimo gali pasireikšti hipotenzija. Labai retai ji gali būti tokia sunki, kad tektų vartoti skysčių į veną ir (ar) kraujagysles siaurinančių vaistų.</w:t>
      </w:r>
    </w:p>
    <w:p w14:paraId="39C1DDA8" w14:textId="77777777" w:rsidR="00912BDF" w:rsidRPr="00A913BF" w:rsidRDefault="00912BDF" w:rsidP="00912BDF">
      <w:pPr>
        <w:rPr>
          <w:szCs w:val="22"/>
        </w:rPr>
      </w:pPr>
    </w:p>
    <w:p w14:paraId="5D614AB3" w14:textId="77777777" w:rsidR="00912BDF" w:rsidRPr="00A913BF" w:rsidRDefault="00912BDF" w:rsidP="00912BDF">
      <w:pPr>
        <w:rPr>
          <w:iCs/>
          <w:szCs w:val="22"/>
          <w:u w:val="single"/>
        </w:rPr>
      </w:pPr>
      <w:r w:rsidRPr="00A913BF">
        <w:rPr>
          <w:iCs/>
          <w:szCs w:val="22"/>
          <w:u w:val="single"/>
        </w:rPr>
        <w:t>Aortos ir mitralinio vožtuvo stenozė (obstrukcinė hipertrofinė kardiomiopatija)</w:t>
      </w:r>
    </w:p>
    <w:p w14:paraId="787B989B" w14:textId="77777777" w:rsidR="00912BDF" w:rsidRPr="00A913BF" w:rsidRDefault="00912BDF" w:rsidP="00912BDF">
      <w:pPr>
        <w:rPr>
          <w:szCs w:val="22"/>
        </w:rPr>
      </w:pPr>
      <w:r w:rsidRPr="00A913BF">
        <w:rPr>
          <w:szCs w:val="22"/>
        </w:rPr>
        <w:t>Šio vaistinio preparato, kaip ir kitų kraujagysles plečiančių, ypač atsargiai skiriama pacientams, sergantiems hemodinamiką trikdančia aortos ar mitralinio vožtuvo stenoze arba obstrukcine hipertrofine kardiomiopatija.</w:t>
      </w:r>
    </w:p>
    <w:p w14:paraId="389A5B82" w14:textId="77777777" w:rsidR="00912BDF" w:rsidRPr="00A913BF" w:rsidRDefault="00912BDF" w:rsidP="00912BDF">
      <w:pPr>
        <w:rPr>
          <w:szCs w:val="22"/>
        </w:rPr>
      </w:pPr>
    </w:p>
    <w:p w14:paraId="14B564F8" w14:textId="77777777" w:rsidR="00912BDF" w:rsidRPr="00A913BF" w:rsidRDefault="00912BDF" w:rsidP="00912BDF">
      <w:pPr>
        <w:rPr>
          <w:iCs/>
          <w:szCs w:val="22"/>
          <w:u w:val="single"/>
        </w:rPr>
      </w:pPr>
      <w:r w:rsidRPr="00A913BF">
        <w:rPr>
          <w:iCs/>
          <w:szCs w:val="22"/>
          <w:u w:val="single"/>
        </w:rPr>
        <w:t>Pirminis hiperaldosteronizmas</w:t>
      </w:r>
    </w:p>
    <w:p w14:paraId="0DEF304D" w14:textId="77777777" w:rsidR="00912BDF" w:rsidRPr="00A913BF" w:rsidRDefault="00912BDF" w:rsidP="00912BDF">
      <w:pPr>
        <w:rPr>
          <w:szCs w:val="22"/>
        </w:rPr>
      </w:pPr>
      <w:r w:rsidRPr="00A913BF">
        <w:rPr>
          <w:szCs w:val="22"/>
        </w:rPr>
        <w:t>Pirminiu hiperaldosteronizmu sergantiems pacientams renino, angiotenzino ir aldosterono sistemą slo</w:t>
      </w:r>
      <w:r w:rsidRPr="00A913BF">
        <w:rPr>
          <w:szCs w:val="22"/>
        </w:rPr>
        <w:softHyphen/>
        <w:t>pinantys antihipertenziniai vaistiniai preparatai dažniausiai būna neveiksmingi, todėl jiems Atacand nerekomenduojamas.</w:t>
      </w:r>
    </w:p>
    <w:p w14:paraId="2C1CA1E9" w14:textId="77777777" w:rsidR="00912BDF" w:rsidRPr="00A913BF" w:rsidRDefault="00912BDF" w:rsidP="00912BDF">
      <w:pPr>
        <w:rPr>
          <w:szCs w:val="22"/>
        </w:rPr>
      </w:pPr>
    </w:p>
    <w:p w14:paraId="617C3A5D" w14:textId="77777777" w:rsidR="00912BDF" w:rsidRPr="00A913BF" w:rsidRDefault="00912BDF" w:rsidP="00912BDF">
      <w:pPr>
        <w:rPr>
          <w:iCs/>
          <w:szCs w:val="22"/>
          <w:u w:val="single"/>
        </w:rPr>
      </w:pPr>
      <w:r w:rsidRPr="00A913BF">
        <w:rPr>
          <w:iCs/>
          <w:szCs w:val="22"/>
          <w:u w:val="single"/>
        </w:rPr>
        <w:t>Hiperkalemija</w:t>
      </w:r>
    </w:p>
    <w:p w14:paraId="75D7F000" w14:textId="77777777" w:rsidR="00912BDF" w:rsidRPr="00A913BF" w:rsidRDefault="00912BDF" w:rsidP="00912BDF">
      <w:pPr>
        <w:rPr>
          <w:szCs w:val="22"/>
        </w:rPr>
      </w:pPr>
      <w:r w:rsidRPr="00A913BF">
        <w:rPr>
          <w:szCs w:val="22"/>
        </w:rPr>
        <w:t>Atacand vartojant kartu su kalį sulaikančiais diuretikais, kalio papildais, kalio turinčiais druskos pakaitalais ar kitais kalio koncentraciją galinčiais didinti vaistiniais preparatais (pvz., heparinu</w:t>
      </w:r>
      <w:r>
        <w:rPr>
          <w:szCs w:val="22"/>
        </w:rPr>
        <w:t xml:space="preserve"> arba </w:t>
      </w:r>
      <w:r w:rsidRPr="00226188">
        <w:rPr>
          <w:szCs w:val="22"/>
        </w:rPr>
        <w:t>trimetoprim</w:t>
      </w:r>
      <w:r>
        <w:rPr>
          <w:szCs w:val="22"/>
        </w:rPr>
        <w:t>o ir sulfamet</w:t>
      </w:r>
      <w:r w:rsidRPr="00226188">
        <w:rPr>
          <w:szCs w:val="22"/>
        </w:rPr>
        <w:t>o</w:t>
      </w:r>
      <w:r>
        <w:rPr>
          <w:szCs w:val="22"/>
        </w:rPr>
        <w:t>ks</w:t>
      </w:r>
      <w:r w:rsidRPr="00226188">
        <w:rPr>
          <w:szCs w:val="22"/>
        </w:rPr>
        <w:t>azol</w:t>
      </w:r>
      <w:r>
        <w:rPr>
          <w:szCs w:val="22"/>
        </w:rPr>
        <w:t>o deriniu – k</w:t>
      </w:r>
      <w:r w:rsidRPr="00226188">
        <w:rPr>
          <w:szCs w:val="22"/>
        </w:rPr>
        <w:t>otrimo</w:t>
      </w:r>
      <w:r>
        <w:rPr>
          <w:szCs w:val="22"/>
        </w:rPr>
        <w:t>ks</w:t>
      </w:r>
      <w:r w:rsidRPr="00226188">
        <w:rPr>
          <w:szCs w:val="22"/>
        </w:rPr>
        <w:t>azol</w:t>
      </w:r>
      <w:r>
        <w:rPr>
          <w:szCs w:val="22"/>
        </w:rPr>
        <w:t>u</w:t>
      </w:r>
      <w:r w:rsidRPr="00A913BF">
        <w:rPr>
          <w:szCs w:val="22"/>
        </w:rPr>
        <w:t>), gali padidėti kalio koncentracija hipertenzija sergančių pacientų serume. Ji turi būti tinkamai reguliariai tiriama.</w:t>
      </w:r>
    </w:p>
    <w:p w14:paraId="781F379E" w14:textId="77777777" w:rsidR="00912BDF" w:rsidRPr="00A913BF" w:rsidRDefault="00912BDF" w:rsidP="00912BDF">
      <w:pPr>
        <w:rPr>
          <w:szCs w:val="22"/>
        </w:rPr>
      </w:pPr>
    </w:p>
    <w:p w14:paraId="60A59FE8" w14:textId="77777777" w:rsidR="00912BDF" w:rsidRPr="00A913BF" w:rsidRDefault="00912BDF" w:rsidP="00912BDF">
      <w:pPr>
        <w:rPr>
          <w:szCs w:val="22"/>
        </w:rPr>
      </w:pPr>
      <w:r w:rsidRPr="00A913BF">
        <w:rPr>
          <w:szCs w:val="22"/>
        </w:rPr>
        <w:t xml:space="preserve">Širdies nepakankamumu sergantiems pacientams, vartojantiems Atacand, gali pasireikšti hiperkalemija. Rekomenduojama periodiškai tirti kalio koncentraciją jų serume. AKF inhibitorių ir kalį sulaikančių diuretikų (pvz., spironolaktono) kartu su Atacand vartoti nerekomenduojama, jų vartojimo kartu galimybę galima svarstyti tik kruopščiai įvertinus galimą naudą ir riziką. </w:t>
      </w:r>
    </w:p>
    <w:p w14:paraId="4CF47CB2" w14:textId="77777777" w:rsidR="00912BDF" w:rsidRPr="00A913BF" w:rsidRDefault="00912BDF" w:rsidP="00912BDF">
      <w:pPr>
        <w:rPr>
          <w:szCs w:val="22"/>
        </w:rPr>
      </w:pPr>
    </w:p>
    <w:p w14:paraId="5A608457" w14:textId="77777777" w:rsidR="00912BDF" w:rsidRPr="00A913BF" w:rsidRDefault="00912BDF" w:rsidP="00912BDF">
      <w:pPr>
        <w:rPr>
          <w:iCs/>
          <w:szCs w:val="22"/>
          <w:u w:val="single"/>
        </w:rPr>
      </w:pPr>
      <w:r w:rsidRPr="00A913BF">
        <w:rPr>
          <w:iCs/>
          <w:szCs w:val="22"/>
          <w:u w:val="single"/>
        </w:rPr>
        <w:t>Bendri įspėjimai</w:t>
      </w:r>
    </w:p>
    <w:p w14:paraId="43C1E8FA" w14:textId="77777777" w:rsidR="00912BDF" w:rsidRPr="00A913BF" w:rsidRDefault="00912BDF" w:rsidP="00912BDF">
      <w:pPr>
        <w:rPr>
          <w:szCs w:val="22"/>
        </w:rPr>
      </w:pPr>
      <w:r w:rsidRPr="00A913BF">
        <w:rPr>
          <w:szCs w:val="22"/>
        </w:rPr>
        <w:t>Pacientams, kurių kraujagyslių tonusas ir inkstų funkcija daugiausiai priklausė nuo renino, angiotenzino ir aldosterono sistemos aktyvumo (pvz., sergantiems sunkiu staziniu širdies nepakankamumu ar inkstų liga, ypač inkstų arterijų stenoze), kitų šią sistemą veikiančių preparatų vartojimas buvo susijęs su ūminės hipotenzijos, azotemijos, oligurijos ir (retai) ūminio inkstų nepakankamumo pasireiškimu. Negalima paneigti ir panašaus angiotenzino-II receptorių blokatorių poveikio galimybės. Dėl per didelio kraujospūdžio sumažėjimo vartojant šį (kaip ir bet kurį kitą) antihipertenzinį vaistinį preparatą išemine širdies liga ar išemine smegenų kraujagyslių liga sergančius pacientus gali ištikti miokardo infarktas ar insultas.</w:t>
      </w:r>
    </w:p>
    <w:p w14:paraId="0113A3D4" w14:textId="77777777" w:rsidR="00912BDF" w:rsidRPr="00A913BF" w:rsidRDefault="00912BDF" w:rsidP="00912BDF">
      <w:pPr>
        <w:rPr>
          <w:szCs w:val="22"/>
        </w:rPr>
      </w:pPr>
    </w:p>
    <w:p w14:paraId="6980A9CB" w14:textId="77777777" w:rsidR="00912BDF" w:rsidRPr="00A913BF" w:rsidRDefault="00912BDF" w:rsidP="00912BDF">
      <w:pPr>
        <w:rPr>
          <w:szCs w:val="22"/>
        </w:rPr>
      </w:pPr>
      <w:r w:rsidRPr="00A913BF">
        <w:rPr>
          <w:szCs w:val="22"/>
        </w:rPr>
        <w:t>Kandesartano antihipertenzinį poveikį gali sustiprinti kiti kraujospūdį mažinantys vaistiniai preparatai (tiek vartojami antihipertenziniam gydymui, tiek kitoms indikacijoms).</w:t>
      </w:r>
    </w:p>
    <w:p w14:paraId="07FED047" w14:textId="77777777" w:rsidR="00912BDF" w:rsidRPr="00A913BF" w:rsidRDefault="00912BDF" w:rsidP="00912BDF">
      <w:pPr>
        <w:rPr>
          <w:szCs w:val="22"/>
        </w:rPr>
      </w:pPr>
    </w:p>
    <w:p w14:paraId="5588F893" w14:textId="77777777" w:rsidR="00912BDF" w:rsidRPr="00A913BF" w:rsidRDefault="00912BDF" w:rsidP="00912BDF">
      <w:pPr>
        <w:rPr>
          <w:szCs w:val="22"/>
        </w:rPr>
      </w:pPr>
      <w:r w:rsidRPr="00A913BF">
        <w:rPr>
          <w:szCs w:val="22"/>
        </w:rPr>
        <w:t>Atacand sudėtyje yra laktozės. Šio vaistinio preparato negalima vartoti pacientams, kuriems nustatytas retas paveldimas sutrikimas – galaktozės netoleravimas, Lapp laktazės stygius arba gliukozės ir galaktozės malabsorbcija.</w:t>
      </w:r>
    </w:p>
    <w:p w14:paraId="02B515DE" w14:textId="77777777" w:rsidR="00912BDF" w:rsidRPr="00A913BF" w:rsidRDefault="00912BDF" w:rsidP="00912BDF">
      <w:pPr>
        <w:rPr>
          <w:szCs w:val="22"/>
        </w:rPr>
      </w:pPr>
    </w:p>
    <w:p w14:paraId="78149FCA" w14:textId="77777777" w:rsidR="00912BDF" w:rsidRPr="00A913BF" w:rsidRDefault="00912BDF" w:rsidP="00912BDF">
      <w:pPr>
        <w:rPr>
          <w:iCs/>
          <w:szCs w:val="22"/>
          <w:u w:val="single"/>
        </w:rPr>
      </w:pPr>
      <w:r w:rsidRPr="00A913BF">
        <w:rPr>
          <w:iCs/>
          <w:szCs w:val="22"/>
          <w:u w:val="single"/>
        </w:rPr>
        <w:t>Nėštumas</w:t>
      </w:r>
    </w:p>
    <w:p w14:paraId="4A4306CA" w14:textId="77777777" w:rsidR="00912BDF" w:rsidRPr="00A913BF" w:rsidRDefault="00912BDF" w:rsidP="00912BDF">
      <w:pPr>
        <w:rPr>
          <w:szCs w:val="22"/>
        </w:rPr>
      </w:pPr>
      <w:r w:rsidRPr="00A913BF">
        <w:rPr>
          <w:szCs w:val="22"/>
        </w:rPr>
        <w:t>Nėštumo laikotarpiu pradėti vartoti angiotenzino-II receptorių blokatorių negalima. Išskyrus atvejus, kai tęstinis gydymas angiotenzino-II receptorių blokatoriais laikomas būtinu, planuojančioms pastoti pacientėms šiuos vaistinius preparatus reikia pakeisti kitais antihipertenziniais, kurių vartojimo nėštumo laikotarpiu saugumas yra ištirtas. Nustačius, kad pacientė pastojo, būtina nedelsiant nutraukti angiotenzino-II receptorių blokatorių vartojimą, ir, jei reikia, skirti kitų antihipertenzinių vaistinių preparatų (žr. 4.3 ir 4.6 skyrius).</w:t>
      </w:r>
    </w:p>
    <w:p w14:paraId="08684E46" w14:textId="77777777" w:rsidR="00912BDF" w:rsidRPr="00A913BF" w:rsidRDefault="00912BDF" w:rsidP="00912BDF">
      <w:pPr>
        <w:ind w:left="567" w:hanging="567"/>
        <w:rPr>
          <w:szCs w:val="22"/>
        </w:rPr>
      </w:pPr>
    </w:p>
    <w:p w14:paraId="248F9392" w14:textId="77777777" w:rsidR="00912BDF" w:rsidRPr="00A913BF" w:rsidRDefault="00912BDF" w:rsidP="00912BDF">
      <w:pPr>
        <w:rPr>
          <w:szCs w:val="22"/>
        </w:rPr>
      </w:pPr>
      <w:r w:rsidRPr="00A913BF">
        <w:rPr>
          <w:szCs w:val="22"/>
        </w:rPr>
        <w:lastRenderedPageBreak/>
        <w:t>Būtina reguliariai tirti, pacientė po menopauzės vis dėlto nėra pastojusi. Reikia pateikti jai atitinkamą informaciją ir (arba) imtis atitinkamų priemonių norint išvengti šio vaistinio preparato vartojimo nėštumo metu (žr. 4.3 ir 4.6 skyrius).</w:t>
      </w:r>
    </w:p>
    <w:p w14:paraId="331D0E19" w14:textId="77777777" w:rsidR="00912BDF" w:rsidRPr="00A913BF" w:rsidRDefault="00912BDF" w:rsidP="00912BDF">
      <w:pPr>
        <w:ind w:left="567" w:hanging="567"/>
        <w:rPr>
          <w:szCs w:val="22"/>
        </w:rPr>
      </w:pPr>
    </w:p>
    <w:p w14:paraId="7CB2A88C" w14:textId="77777777" w:rsidR="00912BDF" w:rsidRPr="00A913BF" w:rsidRDefault="00912BDF" w:rsidP="00912BDF">
      <w:pPr>
        <w:ind w:left="567" w:hanging="567"/>
        <w:rPr>
          <w:b/>
          <w:szCs w:val="22"/>
        </w:rPr>
      </w:pPr>
      <w:r w:rsidRPr="00A913BF">
        <w:rPr>
          <w:b/>
          <w:szCs w:val="22"/>
        </w:rPr>
        <w:t>4.5</w:t>
      </w:r>
      <w:r w:rsidRPr="00A913BF">
        <w:rPr>
          <w:b/>
          <w:szCs w:val="22"/>
        </w:rPr>
        <w:tab/>
        <w:t>Sąveika su kitais vaistiniais preparatais ir kitokia sąveika</w:t>
      </w:r>
    </w:p>
    <w:p w14:paraId="6CF91066" w14:textId="77777777" w:rsidR="00912BDF" w:rsidRPr="00A913BF" w:rsidRDefault="00912BDF" w:rsidP="00912BDF">
      <w:pPr>
        <w:ind w:left="567" w:hanging="567"/>
        <w:rPr>
          <w:b/>
          <w:szCs w:val="22"/>
        </w:rPr>
      </w:pPr>
    </w:p>
    <w:p w14:paraId="29F6F78A" w14:textId="77777777" w:rsidR="00912BDF" w:rsidRPr="00A913BF" w:rsidRDefault="00912BDF" w:rsidP="00912BDF">
      <w:pPr>
        <w:rPr>
          <w:szCs w:val="22"/>
        </w:rPr>
      </w:pPr>
      <w:r w:rsidRPr="00A913BF">
        <w:rPr>
          <w:szCs w:val="22"/>
        </w:rPr>
        <w:t>Klinikinės farmakokinetikos tyrimų metu tirta sąveika su hidrochlorotiazidu, varfarinu, digoksinu, geriamaisiais kontraceptikais (etinilestradiolio ir levonorgestrelio deriniu), glibenklamidu, nifedipinu ir enalapriliu. Klinikai reikšmingos farmakokinetinės sąveikos su šiais vaistiniais preparatais nenustatyta.</w:t>
      </w:r>
    </w:p>
    <w:p w14:paraId="028344ED" w14:textId="77777777" w:rsidR="00912BDF" w:rsidRPr="00A913BF" w:rsidRDefault="00912BDF" w:rsidP="00912BDF">
      <w:pPr>
        <w:rPr>
          <w:szCs w:val="22"/>
        </w:rPr>
      </w:pPr>
    </w:p>
    <w:p w14:paraId="00F7D8C5" w14:textId="77777777" w:rsidR="00912BDF" w:rsidRPr="00A913BF" w:rsidRDefault="00912BDF" w:rsidP="00912BDF">
      <w:pPr>
        <w:rPr>
          <w:szCs w:val="22"/>
        </w:rPr>
      </w:pPr>
      <w:r w:rsidRPr="00A913BF">
        <w:rPr>
          <w:szCs w:val="22"/>
        </w:rPr>
        <w:t>Kartu vartojant kalį sulaikančių diuretikų, kalio papildų, kalio turinčių druskos pakaitalų ar kai kurių kitų vaistinių preparatų (pvz., heparino), gali padidėti kalio koncentracija serume. Ji turi būti tinkamai reguliariai tiriama (žr. 4.4 skyrių).</w:t>
      </w:r>
    </w:p>
    <w:p w14:paraId="3F43B88A" w14:textId="77777777" w:rsidR="00912BDF" w:rsidRPr="00A913BF" w:rsidRDefault="00912BDF" w:rsidP="00912BDF">
      <w:pPr>
        <w:rPr>
          <w:szCs w:val="22"/>
        </w:rPr>
      </w:pPr>
    </w:p>
    <w:p w14:paraId="240B4EBC" w14:textId="77777777" w:rsidR="00912BDF" w:rsidRPr="00A913BF" w:rsidRDefault="00912BDF" w:rsidP="00912BDF">
      <w:pPr>
        <w:rPr>
          <w:szCs w:val="22"/>
        </w:rPr>
      </w:pPr>
      <w:r w:rsidRPr="00A913BF">
        <w:rPr>
          <w:szCs w:val="22"/>
        </w:rPr>
        <w:t>Buvo atvejų, kai kartu su AKF inhibitoriais vartojant ličio preparatų laikinai padidėjo ličio koncentracija serume, pasireiškė jo toksinis poveikis. Panašus poveikis galimas ir kartu vartojant angiotenzino-II receptorių blokatorius. Kandesartano ir ličio preparatų kartu vartoti nerekomenduojama, tačiau jeigu vis dėlto tai neišvengiamai būtina, rekomenduojama atidžiai stebėti ličio koncentraciją serume.</w:t>
      </w:r>
    </w:p>
    <w:p w14:paraId="60D84967" w14:textId="77777777" w:rsidR="00912BDF" w:rsidRPr="00A913BF" w:rsidRDefault="00912BDF" w:rsidP="00912BDF">
      <w:pPr>
        <w:rPr>
          <w:szCs w:val="22"/>
        </w:rPr>
      </w:pPr>
    </w:p>
    <w:p w14:paraId="6484DCB7" w14:textId="77777777" w:rsidR="00912BDF" w:rsidRPr="00A913BF" w:rsidRDefault="00912BDF" w:rsidP="00912BDF">
      <w:pPr>
        <w:rPr>
          <w:szCs w:val="22"/>
        </w:rPr>
      </w:pPr>
      <w:r w:rsidRPr="00A913BF">
        <w:rPr>
          <w:szCs w:val="22"/>
        </w:rPr>
        <w:t>Kartu su angiotenzino-II receptorių blokatoriais vartojant nesteroidinių vaistų nuo uždegimo (selektyvių ciklooksigenazės – 2 inhibitorių, acetilsalicilo rūgšties didesnėmis kaip 3 g paros dozėmis arba neselektyvių nesteroidinių vaistų nuo uždegimo), gali susilpnėti antihipertenzinis poveikis.</w:t>
      </w:r>
    </w:p>
    <w:p w14:paraId="581452B0" w14:textId="77777777" w:rsidR="00912BDF" w:rsidRPr="00A913BF" w:rsidRDefault="00912BDF" w:rsidP="00912BDF">
      <w:pPr>
        <w:rPr>
          <w:szCs w:val="22"/>
        </w:rPr>
      </w:pPr>
    </w:p>
    <w:p w14:paraId="1EB50D98" w14:textId="77777777" w:rsidR="00912BDF" w:rsidRPr="00A913BF" w:rsidRDefault="00912BDF" w:rsidP="00912BDF">
      <w:pPr>
        <w:rPr>
          <w:szCs w:val="22"/>
        </w:rPr>
      </w:pPr>
      <w:r w:rsidRPr="00A913BF">
        <w:rPr>
          <w:szCs w:val="22"/>
        </w:rPr>
        <w:t>Angiotenzino-II receptorių blokatorių (kaip ir AKF inhibitorių) vartojant kartu su nesteroidiniais vaistais nuo uždegimo, gali padidėti inkstų funkcijos pablogėjimo (įskaitant ūminį inkstų nepakankamumą ir hiperkalemiją) rizika, ypač jeigu ji jau sutrikusi. Kartu šių vaistinių preparatų skiriama atsargiai, ypač senyviems pacientams; pacientas turi vartoti pakankamai skysčių. Pradėjus gydymą šių vaistinių preparatų deriniu ir periodiškai vėliau gali būti tikslinga tirti inkstų funkciją.</w:t>
      </w:r>
    </w:p>
    <w:p w14:paraId="22D74A06" w14:textId="77777777" w:rsidR="00912BDF" w:rsidRPr="00A913BF" w:rsidRDefault="00912BDF" w:rsidP="00912BDF">
      <w:pPr>
        <w:ind w:left="567" w:hanging="567"/>
        <w:rPr>
          <w:b/>
          <w:szCs w:val="22"/>
        </w:rPr>
      </w:pPr>
    </w:p>
    <w:p w14:paraId="383F9ECC" w14:textId="77777777" w:rsidR="00912BDF" w:rsidRPr="00A913BF" w:rsidRDefault="00912BDF" w:rsidP="00912BDF">
      <w:pPr>
        <w:rPr>
          <w:szCs w:val="22"/>
        </w:rPr>
      </w:pPr>
      <w:r w:rsidRPr="00A913BF">
        <w:rPr>
          <w:szCs w:val="22"/>
        </w:rPr>
        <w:t>Klinikinių tyrimų duomenys parodė, kad, palyginti su vieno RAAS veikiančio preparato vartojimu, dvigubas renino, angiotenzino ir aldosterono sistemos (RAAS) 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7BBBD10C" w14:textId="77777777" w:rsidR="00912BDF" w:rsidRPr="00A913BF" w:rsidRDefault="00912BDF" w:rsidP="00912BDF">
      <w:pPr>
        <w:ind w:left="567" w:hanging="567"/>
        <w:rPr>
          <w:b/>
          <w:szCs w:val="22"/>
        </w:rPr>
      </w:pPr>
    </w:p>
    <w:p w14:paraId="6F4FAA80" w14:textId="77777777" w:rsidR="00912BDF" w:rsidRPr="00A913BF" w:rsidRDefault="00912BDF" w:rsidP="00912BDF">
      <w:pPr>
        <w:ind w:left="567" w:hanging="567"/>
        <w:rPr>
          <w:szCs w:val="22"/>
          <w:u w:val="single"/>
        </w:rPr>
      </w:pPr>
      <w:r w:rsidRPr="00A913BF">
        <w:rPr>
          <w:szCs w:val="22"/>
          <w:u w:val="single"/>
        </w:rPr>
        <w:t>Vaikų populiacija</w:t>
      </w:r>
    </w:p>
    <w:p w14:paraId="5E4CD521" w14:textId="77777777" w:rsidR="00912BDF" w:rsidRPr="00A913BF" w:rsidRDefault="00912BDF" w:rsidP="00912BDF">
      <w:pPr>
        <w:ind w:left="567" w:hanging="567"/>
        <w:rPr>
          <w:szCs w:val="22"/>
        </w:rPr>
      </w:pPr>
      <w:r w:rsidRPr="00A913BF">
        <w:rPr>
          <w:szCs w:val="22"/>
        </w:rPr>
        <w:t>Sąveikos tyrimai atlikti tik suaugusiesiems.</w:t>
      </w:r>
    </w:p>
    <w:p w14:paraId="44992ABB" w14:textId="77777777" w:rsidR="00912BDF" w:rsidRPr="00A913BF" w:rsidRDefault="00912BDF" w:rsidP="00912BDF">
      <w:pPr>
        <w:ind w:left="567" w:hanging="567"/>
        <w:rPr>
          <w:b/>
          <w:szCs w:val="22"/>
        </w:rPr>
      </w:pPr>
    </w:p>
    <w:p w14:paraId="4309164F" w14:textId="77777777" w:rsidR="00912BDF" w:rsidRPr="00A913BF" w:rsidRDefault="00912BDF" w:rsidP="00912BDF">
      <w:pPr>
        <w:ind w:left="567" w:hanging="567"/>
        <w:rPr>
          <w:b/>
          <w:szCs w:val="22"/>
        </w:rPr>
      </w:pPr>
      <w:r w:rsidRPr="00A913BF">
        <w:rPr>
          <w:b/>
          <w:szCs w:val="22"/>
        </w:rPr>
        <w:t>4.6</w:t>
      </w:r>
      <w:r w:rsidRPr="00A913BF">
        <w:rPr>
          <w:b/>
          <w:szCs w:val="22"/>
        </w:rPr>
        <w:tab/>
        <w:t xml:space="preserve">Vaisingumas, </w:t>
      </w:r>
      <w:r w:rsidRPr="00A913BF">
        <w:rPr>
          <w:b/>
          <w:bCs/>
          <w:szCs w:val="22"/>
        </w:rPr>
        <w:t>nėštumo ir žindymo laikotarpis</w:t>
      </w:r>
      <w:r w:rsidRPr="00A913BF">
        <w:rPr>
          <w:szCs w:val="22"/>
        </w:rPr>
        <w:t xml:space="preserve"> </w:t>
      </w:r>
    </w:p>
    <w:p w14:paraId="4EA9AE63" w14:textId="77777777" w:rsidR="00912BDF" w:rsidRPr="00A913BF" w:rsidRDefault="00912BDF" w:rsidP="00912BDF">
      <w:pPr>
        <w:ind w:left="567" w:hanging="567"/>
        <w:rPr>
          <w:szCs w:val="22"/>
        </w:rPr>
      </w:pPr>
    </w:p>
    <w:p w14:paraId="5E93F610" w14:textId="77777777" w:rsidR="00912BDF" w:rsidRDefault="00912BDF" w:rsidP="00912BDF">
      <w:pPr>
        <w:rPr>
          <w:iCs/>
          <w:szCs w:val="22"/>
          <w:u w:val="single"/>
        </w:rPr>
      </w:pPr>
      <w:r w:rsidRPr="00A913BF">
        <w:rPr>
          <w:iCs/>
          <w:szCs w:val="22"/>
          <w:u w:val="single"/>
        </w:rPr>
        <w:t>Nėštumas</w:t>
      </w:r>
    </w:p>
    <w:p w14:paraId="6D53A571" w14:textId="77777777" w:rsidR="00912BDF" w:rsidRPr="00A913BF" w:rsidRDefault="00912BDF" w:rsidP="00912BDF">
      <w:pPr>
        <w:rPr>
          <w:szCs w:val="22"/>
        </w:rPr>
      </w:pPr>
    </w:p>
    <w:p w14:paraId="3CFED3E4" w14:textId="77777777" w:rsidR="00912BDF" w:rsidRPr="00A913BF" w:rsidRDefault="00912BDF" w:rsidP="00912BDF">
      <w:pPr>
        <w:pBdr>
          <w:top w:val="single" w:sz="4" w:space="1" w:color="auto"/>
          <w:left w:val="single" w:sz="4" w:space="4" w:color="auto"/>
          <w:bottom w:val="single" w:sz="4" w:space="1" w:color="auto"/>
          <w:right w:val="single" w:sz="4" w:space="4" w:color="auto"/>
        </w:pBdr>
        <w:rPr>
          <w:szCs w:val="22"/>
        </w:rPr>
      </w:pPr>
      <w:r w:rsidRPr="00A913BF">
        <w:rPr>
          <w:szCs w:val="22"/>
        </w:rPr>
        <w:t>Pirmą nėštumo trimestrą angiotenzino-II receptorių blokatorių vartoti nerekomenduojama (žr. 4.4 skyrių), antrą ir trečią – negalima (žr. 4.3 ir 4.4 skyrius).</w:t>
      </w:r>
    </w:p>
    <w:p w14:paraId="1713A4C7" w14:textId="77777777" w:rsidR="00912BDF" w:rsidRPr="00A913BF" w:rsidRDefault="00912BDF" w:rsidP="00912BDF">
      <w:pPr>
        <w:rPr>
          <w:szCs w:val="22"/>
        </w:rPr>
      </w:pPr>
    </w:p>
    <w:p w14:paraId="67A51CB0" w14:textId="77777777" w:rsidR="00912BDF" w:rsidRPr="00A913BF" w:rsidRDefault="00912BDF" w:rsidP="00912BDF">
      <w:pPr>
        <w:rPr>
          <w:szCs w:val="22"/>
        </w:rPr>
      </w:pPr>
      <w:r w:rsidRPr="00A913BF">
        <w:rPr>
          <w:iCs/>
          <w:szCs w:val="22"/>
        </w:rPr>
        <w:t xml:space="preserve">Turimi AKF inhibitorių vartojimo pirmą nėštumo trimestrą epidemiologiniai duomenys daryti išvadų dėl teratogeninio poveikio rizikos neleidžia, tačiau negalima atmesti nežymaus jos padidėjimo galimybės. </w:t>
      </w:r>
      <w:r w:rsidRPr="00A913BF">
        <w:rPr>
          <w:szCs w:val="22"/>
        </w:rPr>
        <w:t xml:space="preserve">Rizikos, susijusios </w:t>
      </w:r>
      <w:r w:rsidRPr="00A913BF">
        <w:rPr>
          <w:iCs/>
          <w:szCs w:val="22"/>
        </w:rPr>
        <w:t xml:space="preserve">su </w:t>
      </w:r>
      <w:r w:rsidRPr="00A913BF">
        <w:rPr>
          <w:szCs w:val="22"/>
        </w:rPr>
        <w:t>angiotenzino-II receptorių blokatoriais, vertinimo k</w:t>
      </w:r>
      <w:r w:rsidRPr="00A913BF">
        <w:rPr>
          <w:iCs/>
          <w:szCs w:val="22"/>
        </w:rPr>
        <w:t xml:space="preserve">ontroliuojamų epidemiologinių duomenų nėra, tačiau manoma, kad jie gali kelti panašią riziką. </w:t>
      </w:r>
      <w:r w:rsidRPr="00A913BF">
        <w:rPr>
          <w:szCs w:val="22"/>
        </w:rPr>
        <w:t>Išskyrus atvejus, kai tęstinis gydymas angiotenzino-II receptorių blokatoriais laikomas būtinu, planuojančioms pastoti pacientėms šiuos vaistinius preparatus reikia pakeisti kitais antihipertenziniais, kurių vartojimo nėštumo laikotarpiu saugumas yra ištirtas. Nustačius, kad pacientė pastojo, būtina nedelsiant nutraukti angiotenzino-II receptorių blokatorių vartojimą, ir, jei reikia, skirti kitų antihipertenzinių vaistinių preparatų.</w:t>
      </w:r>
    </w:p>
    <w:p w14:paraId="444A8732" w14:textId="77777777" w:rsidR="00912BDF" w:rsidRPr="00A913BF" w:rsidRDefault="00912BDF" w:rsidP="00912BDF">
      <w:pPr>
        <w:rPr>
          <w:szCs w:val="22"/>
        </w:rPr>
      </w:pPr>
    </w:p>
    <w:p w14:paraId="7A315B48" w14:textId="77777777" w:rsidR="00912BDF" w:rsidRPr="00A913BF" w:rsidRDefault="00912BDF" w:rsidP="00912BDF">
      <w:pPr>
        <w:rPr>
          <w:szCs w:val="22"/>
        </w:rPr>
      </w:pPr>
      <w:r w:rsidRPr="00A913BF">
        <w:rPr>
          <w:szCs w:val="22"/>
        </w:rPr>
        <w:lastRenderedPageBreak/>
        <w:t>Yra žinoma, kad antrą ir trečią nėštumo trimestrus vartojami angiotenzino-II receptorių blokatoriai sukelia toksinį poveikį žmogaus vaisiui (inkstų funkcijos susilpnėjimą, oligohidramnioną, kaukolės kaulėjimo sulėtėjimą) ir naujagimiui (inkstų nepakankamumą, hipotenziją, hiperkalemiją) (žr. 5.3 skyrių). Paaiškėjus, kad antrą nėštumo trimestrą moteris vartojo angiotenzino-II receptorių blokatorių, rekomenduojama ultragarsu ištirti vaisiaus inkstų funkciją ir kaukolę. Kūdikius, kurių motinos nėštumo laikotarpiu vartojo angiotenzino-II receptorių blokatorių, reikia atidžiai stebėti dėl galimos hipotenzijos (žr. 4.3 ir 4.4 skyrius).</w:t>
      </w:r>
    </w:p>
    <w:p w14:paraId="5287DC5B" w14:textId="77777777" w:rsidR="00912BDF" w:rsidRPr="00A913BF" w:rsidRDefault="00912BDF" w:rsidP="00912BDF">
      <w:pPr>
        <w:rPr>
          <w:szCs w:val="22"/>
        </w:rPr>
      </w:pPr>
    </w:p>
    <w:p w14:paraId="411D6AFF" w14:textId="77777777" w:rsidR="00912BDF" w:rsidRPr="00A913BF" w:rsidRDefault="00912BDF" w:rsidP="00912BDF">
      <w:pPr>
        <w:rPr>
          <w:iCs/>
          <w:szCs w:val="22"/>
          <w:u w:val="single"/>
        </w:rPr>
      </w:pPr>
      <w:r w:rsidRPr="00A913BF">
        <w:rPr>
          <w:iCs/>
          <w:szCs w:val="22"/>
          <w:u w:val="single"/>
        </w:rPr>
        <w:t>Žindymas</w:t>
      </w:r>
    </w:p>
    <w:p w14:paraId="209E8D9C" w14:textId="77777777" w:rsidR="00912BDF" w:rsidRPr="00A913BF" w:rsidRDefault="00912BDF" w:rsidP="00912BDF">
      <w:pPr>
        <w:rPr>
          <w:szCs w:val="22"/>
        </w:rPr>
      </w:pPr>
      <w:r w:rsidRPr="00A913BF">
        <w:rPr>
          <w:szCs w:val="22"/>
        </w:rPr>
        <w:t>Duomenų apie Atacand vartojimą žindymo laikotarpiu nėra, todėl žindyvėms šis vaistinis preparatas nerekomenduojamas. Joms reikėtų skirti kitų vaistinių preparatų, kurių vartojimo žindymo laikotarpiu saugumas yra ištirtas geriau, ypač jeigu žindomas naujagimis arba neišnešiotas kūdikis.</w:t>
      </w:r>
    </w:p>
    <w:p w14:paraId="7DAB4C65" w14:textId="77777777" w:rsidR="00912BDF" w:rsidRPr="00A913BF" w:rsidRDefault="00912BDF" w:rsidP="00912BDF">
      <w:pPr>
        <w:ind w:left="567" w:hanging="567"/>
        <w:rPr>
          <w:szCs w:val="22"/>
        </w:rPr>
      </w:pPr>
    </w:p>
    <w:p w14:paraId="2F9EBDC5" w14:textId="77777777" w:rsidR="00912BDF" w:rsidRPr="00A913BF" w:rsidRDefault="00912BDF" w:rsidP="00912BDF">
      <w:pPr>
        <w:ind w:left="567" w:hanging="567"/>
        <w:rPr>
          <w:b/>
          <w:szCs w:val="22"/>
        </w:rPr>
      </w:pPr>
      <w:r w:rsidRPr="00A913BF">
        <w:rPr>
          <w:b/>
          <w:szCs w:val="22"/>
        </w:rPr>
        <w:t>4.7</w:t>
      </w:r>
      <w:r w:rsidRPr="00A913BF">
        <w:rPr>
          <w:b/>
          <w:szCs w:val="22"/>
        </w:rPr>
        <w:tab/>
        <w:t>Poveikis gebėjimui vairuoti ir valdyti mechanizmus</w:t>
      </w:r>
    </w:p>
    <w:p w14:paraId="77E30ACD" w14:textId="77777777" w:rsidR="00912BDF" w:rsidRPr="00A913BF" w:rsidRDefault="00912BDF" w:rsidP="00912BDF">
      <w:pPr>
        <w:ind w:left="567" w:hanging="567"/>
        <w:rPr>
          <w:szCs w:val="22"/>
        </w:rPr>
      </w:pPr>
    </w:p>
    <w:p w14:paraId="5C224B50" w14:textId="77777777" w:rsidR="00912BDF" w:rsidRPr="00A913BF" w:rsidRDefault="00912BDF" w:rsidP="00912BDF">
      <w:pPr>
        <w:rPr>
          <w:szCs w:val="22"/>
        </w:rPr>
      </w:pPr>
      <w:r w:rsidRPr="00A913BF">
        <w:rPr>
          <w:szCs w:val="22"/>
        </w:rPr>
        <w:t>Kandesartano poveikis gebėjimui vairuoti ir valdyti mechanizmus tyrimų neatlikta. Vis dėlto reikia atsižvelgti į tai, kad vartojant Atacand kartais gali pasireikšti svaigulys ar nuovargis.</w:t>
      </w:r>
    </w:p>
    <w:p w14:paraId="2AB02B2F" w14:textId="77777777" w:rsidR="00912BDF" w:rsidRPr="00A913BF" w:rsidRDefault="00912BDF" w:rsidP="00912BDF">
      <w:pPr>
        <w:ind w:left="567" w:hanging="567"/>
        <w:rPr>
          <w:szCs w:val="22"/>
        </w:rPr>
      </w:pPr>
    </w:p>
    <w:p w14:paraId="43756BDD" w14:textId="77777777" w:rsidR="00912BDF" w:rsidRPr="00A913BF" w:rsidRDefault="00912BDF" w:rsidP="00912BDF">
      <w:pPr>
        <w:ind w:left="567" w:hanging="567"/>
        <w:rPr>
          <w:b/>
          <w:szCs w:val="22"/>
        </w:rPr>
      </w:pPr>
      <w:r w:rsidRPr="00A913BF">
        <w:rPr>
          <w:b/>
          <w:szCs w:val="22"/>
        </w:rPr>
        <w:t>4.8</w:t>
      </w:r>
      <w:r w:rsidRPr="00A913BF">
        <w:rPr>
          <w:b/>
          <w:szCs w:val="22"/>
        </w:rPr>
        <w:tab/>
        <w:t>Nepageidaujamas poveikis</w:t>
      </w:r>
    </w:p>
    <w:p w14:paraId="0AB7C332" w14:textId="77777777" w:rsidR="00912BDF" w:rsidRPr="00A913BF" w:rsidRDefault="00912BDF" w:rsidP="00912BDF">
      <w:pPr>
        <w:ind w:left="567" w:hanging="567"/>
        <w:rPr>
          <w:szCs w:val="22"/>
        </w:rPr>
      </w:pPr>
    </w:p>
    <w:p w14:paraId="46C81AB3" w14:textId="77777777" w:rsidR="00912BDF" w:rsidRPr="00A913BF" w:rsidRDefault="00912BDF" w:rsidP="00912BDF">
      <w:pPr>
        <w:rPr>
          <w:iCs/>
          <w:szCs w:val="22"/>
          <w:u w:val="single"/>
        </w:rPr>
      </w:pPr>
      <w:r w:rsidRPr="00A913BF">
        <w:rPr>
          <w:iCs/>
          <w:szCs w:val="22"/>
          <w:u w:val="single"/>
        </w:rPr>
        <w:t xml:space="preserve">Gydant hipertenziją </w:t>
      </w:r>
    </w:p>
    <w:p w14:paraId="05B50E16" w14:textId="77777777" w:rsidR="00912BDF" w:rsidRPr="00A913BF" w:rsidRDefault="00912BDF" w:rsidP="00912BDF">
      <w:pPr>
        <w:rPr>
          <w:szCs w:val="22"/>
        </w:rPr>
      </w:pPr>
      <w:r w:rsidRPr="00A913BF">
        <w:rPr>
          <w:szCs w:val="22"/>
        </w:rPr>
        <w:t>Kontroliuojamų klinikinių tyrimų metu nepageidaujamos reakcijos buvo lengvos ir trumpalaikės. Ryšio tarp bendro nepageidaujamų reiškinių dažnio ir dozės ar paciento amžiaus nebuvo. Dėl nepageidaujamų reiškinių kandesartano cileksetilo ir placebo vartojimą nutraukė panašus pacientų skaičius (atitinkamai 3,1% ir 3,2%).</w:t>
      </w:r>
    </w:p>
    <w:p w14:paraId="0DEA194B" w14:textId="77777777" w:rsidR="00912BDF" w:rsidRPr="00A913BF" w:rsidRDefault="00912BDF" w:rsidP="00912BDF">
      <w:pPr>
        <w:rPr>
          <w:szCs w:val="22"/>
        </w:rPr>
      </w:pPr>
    </w:p>
    <w:p w14:paraId="68D907AB" w14:textId="77777777" w:rsidR="00912BDF" w:rsidRPr="00A913BF" w:rsidRDefault="00912BDF" w:rsidP="00912BDF">
      <w:pPr>
        <w:rPr>
          <w:szCs w:val="22"/>
        </w:rPr>
      </w:pPr>
      <w:r w:rsidRPr="00A913BF">
        <w:rPr>
          <w:szCs w:val="22"/>
        </w:rPr>
        <w:t>Bendrais hipertenzija sergančių pacientų klinikinių tyrimų duomenimis, kandesartano cileksetilo nepa</w:t>
      </w:r>
      <w:r w:rsidRPr="00A913BF">
        <w:rPr>
          <w:szCs w:val="22"/>
        </w:rPr>
        <w:softHyphen/>
        <w:t xml:space="preserve">geidaujamos reakcijos nustatytos remiantis vartojant kandesartano cileksetilą pasireiškusių nepageidaujamų reiškinių dažniu, bent 1% didesniu negu vartojant placebą. Nepageidaujamos reakcijos, apie kurias pranešta dažniausiai, pagal šią definiciją buvo galvos sukimasis ar svaigimas </w:t>
      </w:r>
      <w:r w:rsidRPr="00A913BF">
        <w:rPr>
          <w:i/>
          <w:iCs/>
          <w:szCs w:val="22"/>
        </w:rPr>
        <w:t>(vertigo)</w:t>
      </w:r>
      <w:r w:rsidRPr="00A913BF">
        <w:rPr>
          <w:szCs w:val="22"/>
        </w:rPr>
        <w:t>, galvos skausmas ir kvėpavimo takų infekcija.</w:t>
      </w:r>
    </w:p>
    <w:p w14:paraId="69081884" w14:textId="77777777" w:rsidR="00912BDF" w:rsidRPr="00A913BF" w:rsidRDefault="00912BDF" w:rsidP="00912BDF">
      <w:pPr>
        <w:rPr>
          <w:szCs w:val="22"/>
        </w:rPr>
      </w:pPr>
    </w:p>
    <w:p w14:paraId="76A16148" w14:textId="77777777" w:rsidR="00912BDF" w:rsidRPr="00A913BF" w:rsidRDefault="00912BDF" w:rsidP="00912BDF">
      <w:pPr>
        <w:rPr>
          <w:b/>
          <w:szCs w:val="22"/>
        </w:rPr>
      </w:pPr>
      <w:r w:rsidRPr="00A913BF">
        <w:rPr>
          <w:szCs w:val="22"/>
        </w:rPr>
        <w:t>Žemiau pateikiamoje lentelėje nepageidaujamų reakcijų dažnis nurodomas remiantis klinikinių tyrimų duomenimis ir šį vaistinį preparatą pateikus į rinką sukaupta patirtimi.</w:t>
      </w:r>
    </w:p>
    <w:p w14:paraId="281E057D" w14:textId="77777777" w:rsidR="00912BDF" w:rsidRPr="00A913BF" w:rsidRDefault="00912BDF" w:rsidP="00912BDF">
      <w:pPr>
        <w:rPr>
          <w:szCs w:val="22"/>
        </w:rPr>
      </w:pPr>
    </w:p>
    <w:p w14:paraId="22C5497B" w14:textId="77777777" w:rsidR="00912BDF" w:rsidRPr="00B1113D" w:rsidRDefault="00912BDF" w:rsidP="00912BDF">
      <w:pPr>
        <w:rPr>
          <w:szCs w:val="22"/>
        </w:rPr>
      </w:pPr>
      <w:r w:rsidRPr="00A913BF">
        <w:rPr>
          <w:szCs w:val="22"/>
        </w:rPr>
        <w:t>4.8 skyriaus lentelėse dažnis apibūdinamas taip: labai dažna</w:t>
      </w:r>
      <w:r>
        <w:rPr>
          <w:szCs w:val="22"/>
        </w:rPr>
        <w:t>s</w:t>
      </w:r>
      <w:r w:rsidRPr="00A913BF">
        <w:rPr>
          <w:szCs w:val="22"/>
        </w:rPr>
        <w:t xml:space="preserve"> </w:t>
      </w:r>
      <w:r>
        <w:rPr>
          <w:szCs w:val="22"/>
        </w:rPr>
        <w:t>(</w:t>
      </w:r>
      <w:r w:rsidRPr="00A913BF">
        <w:rPr>
          <w:szCs w:val="22"/>
        </w:rPr>
        <w:sym w:font="Symbol" w:char="F0B3"/>
      </w:r>
      <w:r w:rsidRPr="00A913BF">
        <w:rPr>
          <w:szCs w:val="22"/>
        </w:rPr>
        <w:t> 1/10</w:t>
      </w:r>
      <w:r>
        <w:rPr>
          <w:szCs w:val="22"/>
        </w:rPr>
        <w:t>)</w:t>
      </w:r>
      <w:r w:rsidRPr="00A913BF">
        <w:rPr>
          <w:szCs w:val="22"/>
        </w:rPr>
        <w:t>, dažna</w:t>
      </w:r>
      <w:r>
        <w:rPr>
          <w:szCs w:val="22"/>
        </w:rPr>
        <w:t>s</w:t>
      </w:r>
      <w:r w:rsidRPr="00A913BF">
        <w:rPr>
          <w:szCs w:val="22"/>
        </w:rPr>
        <w:t xml:space="preserve"> nuo </w:t>
      </w:r>
      <w:r>
        <w:rPr>
          <w:szCs w:val="22"/>
        </w:rPr>
        <w:t>(</w:t>
      </w:r>
      <w:r w:rsidRPr="00A913BF">
        <w:rPr>
          <w:szCs w:val="22"/>
        </w:rPr>
        <w:sym w:font="Symbol" w:char="F0B3"/>
      </w:r>
      <w:r w:rsidRPr="00A913BF">
        <w:rPr>
          <w:szCs w:val="22"/>
        </w:rPr>
        <w:t> 1/100 iki &lt; 1/10</w:t>
      </w:r>
      <w:r>
        <w:rPr>
          <w:szCs w:val="22"/>
        </w:rPr>
        <w:t>)</w:t>
      </w:r>
      <w:r w:rsidRPr="00A913BF">
        <w:rPr>
          <w:szCs w:val="22"/>
        </w:rPr>
        <w:t>, nedažna</w:t>
      </w:r>
      <w:r>
        <w:rPr>
          <w:szCs w:val="22"/>
        </w:rPr>
        <w:t>s</w:t>
      </w:r>
      <w:r w:rsidRPr="00A913BF">
        <w:rPr>
          <w:szCs w:val="22"/>
        </w:rPr>
        <w:t xml:space="preserve"> </w:t>
      </w:r>
      <w:r>
        <w:rPr>
          <w:szCs w:val="22"/>
        </w:rPr>
        <w:t>(</w:t>
      </w:r>
      <w:r w:rsidRPr="00A913BF">
        <w:rPr>
          <w:szCs w:val="22"/>
        </w:rPr>
        <w:t xml:space="preserve">nuo </w:t>
      </w:r>
      <w:r w:rsidRPr="00A913BF">
        <w:rPr>
          <w:szCs w:val="22"/>
        </w:rPr>
        <w:sym w:font="Symbol" w:char="F0B3"/>
      </w:r>
      <w:r w:rsidRPr="00A913BF">
        <w:rPr>
          <w:szCs w:val="22"/>
        </w:rPr>
        <w:t> 1/1000 iki &lt; 1/100</w:t>
      </w:r>
      <w:r>
        <w:rPr>
          <w:szCs w:val="22"/>
        </w:rPr>
        <w:t>)</w:t>
      </w:r>
      <w:r w:rsidRPr="00A913BF">
        <w:rPr>
          <w:szCs w:val="22"/>
        </w:rPr>
        <w:t>, reta</w:t>
      </w:r>
      <w:r>
        <w:rPr>
          <w:szCs w:val="22"/>
        </w:rPr>
        <w:t>s</w:t>
      </w:r>
      <w:r w:rsidRPr="00A913BF">
        <w:rPr>
          <w:szCs w:val="22"/>
        </w:rPr>
        <w:t xml:space="preserve"> </w:t>
      </w:r>
      <w:r>
        <w:rPr>
          <w:szCs w:val="22"/>
        </w:rPr>
        <w:t>(</w:t>
      </w:r>
      <w:r w:rsidRPr="00A913BF">
        <w:rPr>
          <w:szCs w:val="22"/>
        </w:rPr>
        <w:t xml:space="preserve">nuo </w:t>
      </w:r>
      <w:r w:rsidRPr="00A913BF">
        <w:rPr>
          <w:szCs w:val="22"/>
        </w:rPr>
        <w:sym w:font="Symbol" w:char="F0B3"/>
      </w:r>
      <w:r w:rsidRPr="00A913BF">
        <w:rPr>
          <w:szCs w:val="22"/>
        </w:rPr>
        <w:t> 1/10000 iki &lt; 1/1000</w:t>
      </w:r>
      <w:r>
        <w:rPr>
          <w:szCs w:val="22"/>
        </w:rPr>
        <w:t>)</w:t>
      </w:r>
      <w:r w:rsidRPr="00A913BF">
        <w:rPr>
          <w:szCs w:val="22"/>
        </w:rPr>
        <w:t>, labai reta</w:t>
      </w:r>
      <w:r>
        <w:rPr>
          <w:szCs w:val="22"/>
        </w:rPr>
        <w:t>s</w:t>
      </w:r>
      <w:r w:rsidRPr="00A913BF">
        <w:rPr>
          <w:szCs w:val="22"/>
        </w:rPr>
        <w:t xml:space="preserve"> </w:t>
      </w:r>
      <w:r>
        <w:rPr>
          <w:szCs w:val="22"/>
        </w:rPr>
        <w:t>(</w:t>
      </w:r>
      <w:r w:rsidRPr="00A913BF">
        <w:rPr>
          <w:szCs w:val="22"/>
        </w:rPr>
        <w:t>&lt; 1/10000</w:t>
      </w:r>
      <w:r>
        <w:rPr>
          <w:szCs w:val="22"/>
        </w:rPr>
        <w:t>)</w:t>
      </w:r>
      <w:r w:rsidR="00B1113D">
        <w:rPr>
          <w:szCs w:val="22"/>
        </w:rPr>
        <w:t xml:space="preserve">, </w:t>
      </w:r>
      <w:r w:rsidR="00B1113D" w:rsidRPr="00B1113D">
        <w:rPr>
          <w:szCs w:val="22"/>
        </w:rPr>
        <w:t xml:space="preserve">dažnis nežinomas (negali būti </w:t>
      </w:r>
      <w:r w:rsidR="00475102">
        <w:rPr>
          <w:szCs w:val="22"/>
        </w:rPr>
        <w:t>apskaičiuotas</w:t>
      </w:r>
      <w:r w:rsidR="00475102" w:rsidRPr="00B1113D">
        <w:rPr>
          <w:szCs w:val="22"/>
        </w:rPr>
        <w:t xml:space="preserve"> </w:t>
      </w:r>
      <w:r w:rsidR="00B1113D" w:rsidRPr="00B1113D">
        <w:rPr>
          <w:szCs w:val="22"/>
        </w:rPr>
        <w:t>pagal turimus duomenis</w:t>
      </w:r>
      <w:r w:rsidR="00B1113D" w:rsidRPr="00B1113D">
        <w:rPr>
          <w:bCs/>
          <w:szCs w:val="22"/>
        </w:rPr>
        <w:t>)</w:t>
      </w:r>
      <w:r w:rsidRPr="00B1113D">
        <w:rPr>
          <w:szCs w:val="22"/>
        </w:rPr>
        <w:t>.</w:t>
      </w:r>
    </w:p>
    <w:p w14:paraId="05A0A896" w14:textId="77777777" w:rsidR="00912BDF" w:rsidRPr="00A913BF" w:rsidRDefault="00912BDF" w:rsidP="00912BDF">
      <w:pPr>
        <w:rPr>
          <w:b/>
          <w:szCs w:val="22"/>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70"/>
        <w:gridCol w:w="1542"/>
        <w:gridCol w:w="4048"/>
      </w:tblGrid>
      <w:tr w:rsidR="00912BDF" w:rsidRPr="00A913BF" w14:paraId="2B4E422F" w14:textId="77777777" w:rsidTr="00922A4E">
        <w:trPr>
          <w:tblHeader/>
        </w:trPr>
        <w:tc>
          <w:tcPr>
            <w:tcW w:w="1915" w:type="pct"/>
            <w:tcBorders>
              <w:top w:val="single" w:sz="4" w:space="0" w:color="auto"/>
              <w:left w:val="single" w:sz="4" w:space="0" w:color="auto"/>
              <w:bottom w:val="single" w:sz="4" w:space="0" w:color="auto"/>
              <w:right w:val="single" w:sz="4" w:space="0" w:color="auto"/>
            </w:tcBorders>
          </w:tcPr>
          <w:p w14:paraId="7F703F1B" w14:textId="77777777" w:rsidR="00912BDF" w:rsidRPr="00A913BF" w:rsidRDefault="00912BDF" w:rsidP="00922A4E">
            <w:pPr>
              <w:rPr>
                <w:b/>
                <w:bCs/>
                <w:szCs w:val="22"/>
              </w:rPr>
            </w:pPr>
            <w:r w:rsidRPr="00A913BF">
              <w:rPr>
                <w:b/>
                <w:bCs/>
                <w:szCs w:val="22"/>
              </w:rPr>
              <w:t>Organų sistemų klasės</w:t>
            </w:r>
          </w:p>
        </w:tc>
        <w:tc>
          <w:tcPr>
            <w:tcW w:w="851" w:type="pct"/>
            <w:tcBorders>
              <w:top w:val="single" w:sz="4" w:space="0" w:color="auto"/>
              <w:left w:val="single" w:sz="4" w:space="0" w:color="auto"/>
              <w:bottom w:val="single" w:sz="4" w:space="0" w:color="auto"/>
              <w:right w:val="single" w:sz="4" w:space="0" w:color="auto"/>
            </w:tcBorders>
          </w:tcPr>
          <w:p w14:paraId="1031ECFE" w14:textId="77777777" w:rsidR="00912BDF" w:rsidRPr="00A913BF" w:rsidRDefault="00912BDF" w:rsidP="00922A4E">
            <w:pPr>
              <w:rPr>
                <w:b/>
                <w:bCs/>
                <w:szCs w:val="22"/>
              </w:rPr>
            </w:pPr>
            <w:r w:rsidRPr="00A913BF">
              <w:rPr>
                <w:b/>
                <w:bCs/>
                <w:szCs w:val="22"/>
              </w:rPr>
              <w:t>Dažnis</w:t>
            </w:r>
          </w:p>
        </w:tc>
        <w:tc>
          <w:tcPr>
            <w:tcW w:w="2234" w:type="pct"/>
            <w:tcBorders>
              <w:top w:val="single" w:sz="4" w:space="0" w:color="auto"/>
              <w:left w:val="single" w:sz="4" w:space="0" w:color="auto"/>
              <w:bottom w:val="single" w:sz="4" w:space="0" w:color="auto"/>
              <w:right w:val="single" w:sz="4" w:space="0" w:color="auto"/>
            </w:tcBorders>
          </w:tcPr>
          <w:p w14:paraId="665D7B40" w14:textId="77777777" w:rsidR="00912BDF" w:rsidRPr="00A913BF" w:rsidRDefault="00912BDF" w:rsidP="00922A4E">
            <w:pPr>
              <w:rPr>
                <w:b/>
                <w:bCs/>
                <w:szCs w:val="22"/>
              </w:rPr>
            </w:pPr>
            <w:r w:rsidRPr="00A913BF">
              <w:rPr>
                <w:b/>
                <w:bCs/>
                <w:szCs w:val="22"/>
              </w:rPr>
              <w:t>Nepageidaujamas poveikis</w:t>
            </w:r>
          </w:p>
        </w:tc>
      </w:tr>
      <w:tr w:rsidR="00912BDF" w:rsidRPr="00A913BF" w14:paraId="68448B5E" w14:textId="77777777" w:rsidTr="00922A4E">
        <w:tc>
          <w:tcPr>
            <w:tcW w:w="1915" w:type="pct"/>
            <w:tcBorders>
              <w:top w:val="single" w:sz="4" w:space="0" w:color="auto"/>
              <w:left w:val="single" w:sz="4" w:space="0" w:color="auto"/>
              <w:bottom w:val="single" w:sz="4" w:space="0" w:color="auto"/>
              <w:right w:val="single" w:sz="4" w:space="0" w:color="auto"/>
            </w:tcBorders>
          </w:tcPr>
          <w:p w14:paraId="744DC92E" w14:textId="77777777" w:rsidR="00912BDF" w:rsidRPr="00A913BF" w:rsidRDefault="00912BDF" w:rsidP="00922A4E">
            <w:pPr>
              <w:rPr>
                <w:szCs w:val="22"/>
              </w:rPr>
            </w:pPr>
            <w:r w:rsidRPr="00A913BF">
              <w:rPr>
                <w:szCs w:val="22"/>
              </w:rPr>
              <w:t>Infekcijos ir infestacijos</w:t>
            </w:r>
          </w:p>
        </w:tc>
        <w:tc>
          <w:tcPr>
            <w:tcW w:w="851" w:type="pct"/>
            <w:tcBorders>
              <w:top w:val="single" w:sz="4" w:space="0" w:color="auto"/>
              <w:left w:val="single" w:sz="4" w:space="0" w:color="auto"/>
              <w:bottom w:val="single" w:sz="4" w:space="0" w:color="auto"/>
              <w:right w:val="single" w:sz="4" w:space="0" w:color="auto"/>
            </w:tcBorders>
          </w:tcPr>
          <w:p w14:paraId="672BEE2F" w14:textId="77777777" w:rsidR="00912BDF" w:rsidRPr="00A913BF" w:rsidRDefault="00912BDF" w:rsidP="00922A4E">
            <w:pPr>
              <w:rPr>
                <w:szCs w:val="22"/>
              </w:rPr>
            </w:pPr>
            <w:r w:rsidRPr="00A913BF">
              <w:rPr>
                <w:szCs w:val="22"/>
              </w:rPr>
              <w:t>dažna</w:t>
            </w:r>
            <w:r>
              <w:rPr>
                <w:szCs w:val="22"/>
              </w:rPr>
              <w:t>s</w:t>
            </w:r>
            <w:r w:rsidRPr="00A913BF">
              <w:rPr>
                <w:szCs w:val="22"/>
              </w:rPr>
              <w:t xml:space="preserve"> </w:t>
            </w:r>
          </w:p>
        </w:tc>
        <w:tc>
          <w:tcPr>
            <w:tcW w:w="2234" w:type="pct"/>
            <w:tcBorders>
              <w:top w:val="single" w:sz="4" w:space="0" w:color="auto"/>
              <w:left w:val="single" w:sz="4" w:space="0" w:color="auto"/>
              <w:bottom w:val="single" w:sz="4" w:space="0" w:color="auto"/>
              <w:right w:val="single" w:sz="4" w:space="0" w:color="auto"/>
            </w:tcBorders>
          </w:tcPr>
          <w:p w14:paraId="1B5D6050" w14:textId="77777777" w:rsidR="00912BDF" w:rsidRPr="00A913BF" w:rsidRDefault="00912BDF" w:rsidP="00922A4E">
            <w:pPr>
              <w:rPr>
                <w:szCs w:val="22"/>
              </w:rPr>
            </w:pPr>
            <w:r w:rsidRPr="00A913BF">
              <w:rPr>
                <w:szCs w:val="22"/>
              </w:rPr>
              <w:t>kvėpavimo takų infekcija</w:t>
            </w:r>
          </w:p>
        </w:tc>
      </w:tr>
      <w:tr w:rsidR="00912BDF" w:rsidRPr="00A913BF" w14:paraId="535BC8E6" w14:textId="77777777" w:rsidTr="00922A4E">
        <w:tc>
          <w:tcPr>
            <w:tcW w:w="1915" w:type="pct"/>
            <w:tcBorders>
              <w:top w:val="single" w:sz="4" w:space="0" w:color="auto"/>
              <w:left w:val="single" w:sz="4" w:space="0" w:color="auto"/>
              <w:bottom w:val="single" w:sz="4" w:space="0" w:color="auto"/>
              <w:right w:val="single" w:sz="4" w:space="0" w:color="auto"/>
            </w:tcBorders>
          </w:tcPr>
          <w:p w14:paraId="28A378BB" w14:textId="77777777" w:rsidR="00912BDF" w:rsidRPr="00A913BF" w:rsidRDefault="00912BDF" w:rsidP="00922A4E">
            <w:pPr>
              <w:rPr>
                <w:szCs w:val="22"/>
              </w:rPr>
            </w:pPr>
            <w:r w:rsidRPr="00A913BF">
              <w:rPr>
                <w:szCs w:val="22"/>
              </w:rPr>
              <w:t>Kraujo ir limfinės sistemos sutrikimai</w:t>
            </w:r>
          </w:p>
        </w:tc>
        <w:tc>
          <w:tcPr>
            <w:tcW w:w="851" w:type="pct"/>
            <w:tcBorders>
              <w:top w:val="single" w:sz="4" w:space="0" w:color="auto"/>
              <w:left w:val="single" w:sz="4" w:space="0" w:color="auto"/>
              <w:bottom w:val="single" w:sz="4" w:space="0" w:color="auto"/>
              <w:right w:val="single" w:sz="4" w:space="0" w:color="auto"/>
            </w:tcBorders>
          </w:tcPr>
          <w:p w14:paraId="225B60C6" w14:textId="77777777" w:rsidR="00912BDF" w:rsidRPr="00A913BF" w:rsidRDefault="00912BDF" w:rsidP="00922A4E">
            <w:pPr>
              <w:rPr>
                <w:szCs w:val="22"/>
              </w:rPr>
            </w:pPr>
            <w:r w:rsidRPr="00A913BF">
              <w:rPr>
                <w:szCs w:val="22"/>
              </w:rPr>
              <w:t>labai reta</w:t>
            </w:r>
            <w:r>
              <w:rPr>
                <w:szCs w:val="22"/>
              </w:rPr>
              <w:t>s</w:t>
            </w:r>
            <w:r w:rsidRPr="00A913BF">
              <w:rPr>
                <w:szCs w:val="22"/>
              </w:rPr>
              <w:t xml:space="preserve"> </w:t>
            </w:r>
          </w:p>
        </w:tc>
        <w:tc>
          <w:tcPr>
            <w:tcW w:w="2234" w:type="pct"/>
            <w:tcBorders>
              <w:top w:val="single" w:sz="4" w:space="0" w:color="auto"/>
              <w:left w:val="single" w:sz="4" w:space="0" w:color="auto"/>
              <w:bottom w:val="single" w:sz="4" w:space="0" w:color="auto"/>
              <w:right w:val="single" w:sz="4" w:space="0" w:color="auto"/>
            </w:tcBorders>
          </w:tcPr>
          <w:p w14:paraId="269C404E" w14:textId="77777777" w:rsidR="00912BDF" w:rsidRPr="00A913BF" w:rsidRDefault="00912BDF" w:rsidP="00922A4E">
            <w:pPr>
              <w:rPr>
                <w:szCs w:val="22"/>
              </w:rPr>
            </w:pPr>
            <w:r w:rsidRPr="00A913BF">
              <w:rPr>
                <w:szCs w:val="22"/>
              </w:rPr>
              <w:t>leukopenija, neutropenija ir agranulocitozė</w:t>
            </w:r>
          </w:p>
        </w:tc>
      </w:tr>
      <w:tr w:rsidR="00912BDF" w:rsidRPr="00A913BF" w14:paraId="400E422B" w14:textId="77777777" w:rsidTr="00922A4E">
        <w:tc>
          <w:tcPr>
            <w:tcW w:w="1915" w:type="pct"/>
            <w:tcBorders>
              <w:top w:val="single" w:sz="4" w:space="0" w:color="auto"/>
              <w:left w:val="single" w:sz="4" w:space="0" w:color="auto"/>
              <w:bottom w:val="single" w:sz="4" w:space="0" w:color="auto"/>
              <w:right w:val="single" w:sz="4" w:space="0" w:color="auto"/>
            </w:tcBorders>
          </w:tcPr>
          <w:p w14:paraId="03371439" w14:textId="77777777" w:rsidR="00912BDF" w:rsidRPr="00A913BF" w:rsidRDefault="00912BDF" w:rsidP="00922A4E">
            <w:pPr>
              <w:rPr>
                <w:szCs w:val="22"/>
              </w:rPr>
            </w:pPr>
            <w:r w:rsidRPr="00A913BF">
              <w:rPr>
                <w:szCs w:val="22"/>
              </w:rPr>
              <w:t>Metabolizmo ir mitybos sutrikimai</w:t>
            </w:r>
          </w:p>
        </w:tc>
        <w:tc>
          <w:tcPr>
            <w:tcW w:w="851" w:type="pct"/>
            <w:tcBorders>
              <w:top w:val="single" w:sz="4" w:space="0" w:color="auto"/>
              <w:left w:val="single" w:sz="4" w:space="0" w:color="auto"/>
              <w:bottom w:val="single" w:sz="4" w:space="0" w:color="auto"/>
              <w:right w:val="single" w:sz="4" w:space="0" w:color="auto"/>
            </w:tcBorders>
          </w:tcPr>
          <w:p w14:paraId="730F7B10" w14:textId="77777777" w:rsidR="00912BDF" w:rsidRPr="00A913BF" w:rsidRDefault="00912BDF" w:rsidP="00922A4E">
            <w:pPr>
              <w:rPr>
                <w:szCs w:val="22"/>
              </w:rPr>
            </w:pPr>
            <w:r w:rsidRPr="00A913BF">
              <w:rPr>
                <w:szCs w:val="22"/>
              </w:rPr>
              <w:t>labai reta</w:t>
            </w:r>
            <w:r>
              <w:rPr>
                <w:szCs w:val="22"/>
              </w:rPr>
              <w:t>s</w:t>
            </w:r>
            <w:r w:rsidRPr="00A913BF">
              <w:rPr>
                <w:szCs w:val="22"/>
              </w:rPr>
              <w:t xml:space="preserve"> </w:t>
            </w:r>
          </w:p>
        </w:tc>
        <w:tc>
          <w:tcPr>
            <w:tcW w:w="2234" w:type="pct"/>
            <w:tcBorders>
              <w:top w:val="single" w:sz="4" w:space="0" w:color="auto"/>
              <w:left w:val="single" w:sz="4" w:space="0" w:color="auto"/>
              <w:bottom w:val="single" w:sz="4" w:space="0" w:color="auto"/>
              <w:right w:val="single" w:sz="4" w:space="0" w:color="auto"/>
            </w:tcBorders>
          </w:tcPr>
          <w:p w14:paraId="33F10309" w14:textId="77777777" w:rsidR="00912BDF" w:rsidRPr="00A913BF" w:rsidRDefault="00912BDF" w:rsidP="00922A4E">
            <w:pPr>
              <w:rPr>
                <w:szCs w:val="22"/>
              </w:rPr>
            </w:pPr>
            <w:r w:rsidRPr="00A913BF">
              <w:rPr>
                <w:szCs w:val="22"/>
              </w:rPr>
              <w:t>hiperkalemija, hiponatremija</w:t>
            </w:r>
          </w:p>
        </w:tc>
      </w:tr>
      <w:tr w:rsidR="00912BDF" w:rsidRPr="00A913BF" w14:paraId="5EB9C650" w14:textId="77777777" w:rsidTr="00922A4E">
        <w:tc>
          <w:tcPr>
            <w:tcW w:w="1915" w:type="pct"/>
            <w:tcBorders>
              <w:top w:val="single" w:sz="4" w:space="0" w:color="auto"/>
              <w:left w:val="single" w:sz="4" w:space="0" w:color="auto"/>
              <w:bottom w:val="single" w:sz="4" w:space="0" w:color="auto"/>
              <w:right w:val="single" w:sz="4" w:space="0" w:color="auto"/>
            </w:tcBorders>
          </w:tcPr>
          <w:p w14:paraId="7E0D338C" w14:textId="77777777" w:rsidR="00912BDF" w:rsidRPr="00A913BF" w:rsidRDefault="00912BDF" w:rsidP="00922A4E">
            <w:pPr>
              <w:rPr>
                <w:szCs w:val="22"/>
              </w:rPr>
            </w:pPr>
            <w:r w:rsidRPr="00A913BF">
              <w:rPr>
                <w:szCs w:val="22"/>
              </w:rPr>
              <w:t>Nervų sistemos sutrikimai</w:t>
            </w:r>
          </w:p>
        </w:tc>
        <w:tc>
          <w:tcPr>
            <w:tcW w:w="851" w:type="pct"/>
            <w:tcBorders>
              <w:top w:val="single" w:sz="4" w:space="0" w:color="auto"/>
              <w:left w:val="single" w:sz="4" w:space="0" w:color="auto"/>
              <w:bottom w:val="single" w:sz="4" w:space="0" w:color="auto"/>
              <w:right w:val="single" w:sz="4" w:space="0" w:color="auto"/>
            </w:tcBorders>
          </w:tcPr>
          <w:p w14:paraId="5B7F9072" w14:textId="77777777" w:rsidR="00912BDF" w:rsidRPr="00A913BF" w:rsidRDefault="00912BDF" w:rsidP="00922A4E">
            <w:pPr>
              <w:rPr>
                <w:szCs w:val="22"/>
              </w:rPr>
            </w:pPr>
            <w:r w:rsidRPr="00A913BF">
              <w:rPr>
                <w:szCs w:val="22"/>
              </w:rPr>
              <w:t>dažna</w:t>
            </w:r>
            <w:r>
              <w:rPr>
                <w:szCs w:val="22"/>
              </w:rPr>
              <w:t>s</w:t>
            </w:r>
            <w:r w:rsidRPr="00A913BF">
              <w:rPr>
                <w:szCs w:val="22"/>
              </w:rPr>
              <w:t xml:space="preserve"> </w:t>
            </w:r>
          </w:p>
        </w:tc>
        <w:tc>
          <w:tcPr>
            <w:tcW w:w="2234" w:type="pct"/>
            <w:tcBorders>
              <w:top w:val="single" w:sz="4" w:space="0" w:color="auto"/>
              <w:left w:val="single" w:sz="4" w:space="0" w:color="auto"/>
              <w:bottom w:val="single" w:sz="4" w:space="0" w:color="auto"/>
              <w:right w:val="single" w:sz="4" w:space="0" w:color="auto"/>
            </w:tcBorders>
          </w:tcPr>
          <w:p w14:paraId="47D558BB" w14:textId="77777777" w:rsidR="00912BDF" w:rsidRPr="00A913BF" w:rsidRDefault="00912BDF" w:rsidP="00922A4E">
            <w:pPr>
              <w:rPr>
                <w:szCs w:val="22"/>
              </w:rPr>
            </w:pPr>
            <w:r w:rsidRPr="00A913BF">
              <w:rPr>
                <w:szCs w:val="22"/>
              </w:rPr>
              <w:t xml:space="preserve">svaigulys ar svaigimas </w:t>
            </w:r>
            <w:r w:rsidRPr="00A913BF">
              <w:rPr>
                <w:i/>
                <w:iCs/>
                <w:szCs w:val="22"/>
              </w:rPr>
              <w:t>(vertigo),</w:t>
            </w:r>
            <w:r w:rsidRPr="00A913BF">
              <w:rPr>
                <w:szCs w:val="22"/>
              </w:rPr>
              <w:t xml:space="preserve"> galvos skausmas</w:t>
            </w:r>
          </w:p>
        </w:tc>
      </w:tr>
      <w:tr w:rsidR="00317C7C" w:rsidRPr="00A913BF" w14:paraId="1F3A1C5F" w14:textId="77777777" w:rsidTr="00922A4E">
        <w:tc>
          <w:tcPr>
            <w:tcW w:w="1915" w:type="pct"/>
            <w:vMerge w:val="restart"/>
            <w:tcBorders>
              <w:top w:val="single" w:sz="4" w:space="0" w:color="auto"/>
              <w:left w:val="single" w:sz="4" w:space="0" w:color="auto"/>
              <w:right w:val="single" w:sz="4" w:space="0" w:color="auto"/>
            </w:tcBorders>
          </w:tcPr>
          <w:p w14:paraId="17F9D6BD" w14:textId="77777777" w:rsidR="00317C7C" w:rsidRPr="00A913BF" w:rsidRDefault="00317C7C" w:rsidP="00922A4E">
            <w:pPr>
              <w:rPr>
                <w:szCs w:val="22"/>
              </w:rPr>
            </w:pPr>
            <w:r w:rsidRPr="00A913BF">
              <w:rPr>
                <w:szCs w:val="22"/>
              </w:rPr>
              <w:t>Virškinimo trakto sutrikimai</w:t>
            </w:r>
          </w:p>
        </w:tc>
        <w:tc>
          <w:tcPr>
            <w:tcW w:w="851" w:type="pct"/>
            <w:tcBorders>
              <w:top w:val="single" w:sz="4" w:space="0" w:color="auto"/>
              <w:left w:val="single" w:sz="4" w:space="0" w:color="auto"/>
              <w:bottom w:val="single" w:sz="4" w:space="0" w:color="auto"/>
              <w:right w:val="single" w:sz="4" w:space="0" w:color="auto"/>
            </w:tcBorders>
          </w:tcPr>
          <w:p w14:paraId="66AFC4CF" w14:textId="77777777" w:rsidR="00317C7C" w:rsidRPr="00A913BF" w:rsidRDefault="00317C7C" w:rsidP="00922A4E">
            <w:pPr>
              <w:rPr>
                <w:szCs w:val="22"/>
              </w:rPr>
            </w:pPr>
            <w:r w:rsidRPr="00A913BF">
              <w:rPr>
                <w:szCs w:val="22"/>
              </w:rPr>
              <w:t>labai reta</w:t>
            </w:r>
            <w:r>
              <w:rPr>
                <w:szCs w:val="22"/>
              </w:rPr>
              <w:t>s</w:t>
            </w:r>
            <w:r w:rsidRPr="00A913BF">
              <w:rPr>
                <w:szCs w:val="22"/>
              </w:rPr>
              <w:t xml:space="preserve"> </w:t>
            </w:r>
          </w:p>
        </w:tc>
        <w:tc>
          <w:tcPr>
            <w:tcW w:w="2234" w:type="pct"/>
            <w:tcBorders>
              <w:top w:val="single" w:sz="4" w:space="0" w:color="auto"/>
              <w:left w:val="single" w:sz="4" w:space="0" w:color="auto"/>
              <w:bottom w:val="single" w:sz="4" w:space="0" w:color="auto"/>
              <w:right w:val="single" w:sz="4" w:space="0" w:color="auto"/>
            </w:tcBorders>
          </w:tcPr>
          <w:p w14:paraId="001E233A" w14:textId="77777777" w:rsidR="00317C7C" w:rsidRPr="00A913BF" w:rsidRDefault="00317C7C" w:rsidP="00922A4E">
            <w:pPr>
              <w:rPr>
                <w:szCs w:val="22"/>
              </w:rPr>
            </w:pPr>
            <w:r w:rsidRPr="00A913BF">
              <w:rPr>
                <w:szCs w:val="22"/>
              </w:rPr>
              <w:t>pykinimas</w:t>
            </w:r>
          </w:p>
        </w:tc>
      </w:tr>
      <w:tr w:rsidR="00317C7C" w:rsidRPr="00A913BF" w14:paraId="5512CC0F" w14:textId="77777777" w:rsidTr="00922A4E">
        <w:tc>
          <w:tcPr>
            <w:tcW w:w="1915" w:type="pct"/>
            <w:vMerge/>
            <w:tcBorders>
              <w:left w:val="single" w:sz="4" w:space="0" w:color="auto"/>
              <w:bottom w:val="single" w:sz="4" w:space="0" w:color="auto"/>
              <w:right w:val="single" w:sz="4" w:space="0" w:color="auto"/>
            </w:tcBorders>
          </w:tcPr>
          <w:p w14:paraId="135F3A1D" w14:textId="77777777" w:rsidR="00317C7C" w:rsidRPr="00A913BF" w:rsidRDefault="00317C7C" w:rsidP="00922A4E">
            <w:pPr>
              <w:rPr>
                <w:szCs w:val="22"/>
              </w:rPr>
            </w:pPr>
          </w:p>
        </w:tc>
        <w:tc>
          <w:tcPr>
            <w:tcW w:w="851" w:type="pct"/>
            <w:tcBorders>
              <w:top w:val="single" w:sz="4" w:space="0" w:color="auto"/>
              <w:left w:val="single" w:sz="4" w:space="0" w:color="auto"/>
              <w:bottom w:val="single" w:sz="4" w:space="0" w:color="auto"/>
              <w:right w:val="single" w:sz="4" w:space="0" w:color="auto"/>
            </w:tcBorders>
          </w:tcPr>
          <w:p w14:paraId="474524FB" w14:textId="77777777" w:rsidR="00317C7C" w:rsidRPr="00A913BF" w:rsidRDefault="00317C7C" w:rsidP="00922A4E">
            <w:pPr>
              <w:rPr>
                <w:szCs w:val="22"/>
              </w:rPr>
            </w:pPr>
            <w:r>
              <w:rPr>
                <w:szCs w:val="22"/>
              </w:rPr>
              <w:t>dažnis nežinomas</w:t>
            </w:r>
          </w:p>
        </w:tc>
        <w:tc>
          <w:tcPr>
            <w:tcW w:w="2234" w:type="pct"/>
            <w:tcBorders>
              <w:top w:val="single" w:sz="4" w:space="0" w:color="auto"/>
              <w:left w:val="single" w:sz="4" w:space="0" w:color="auto"/>
              <w:bottom w:val="single" w:sz="4" w:space="0" w:color="auto"/>
              <w:right w:val="single" w:sz="4" w:space="0" w:color="auto"/>
            </w:tcBorders>
          </w:tcPr>
          <w:p w14:paraId="42A87EBC" w14:textId="77777777" w:rsidR="00317C7C" w:rsidRPr="00A913BF" w:rsidRDefault="00317C7C" w:rsidP="00922A4E">
            <w:pPr>
              <w:rPr>
                <w:szCs w:val="22"/>
              </w:rPr>
            </w:pPr>
            <w:r>
              <w:rPr>
                <w:szCs w:val="22"/>
              </w:rPr>
              <w:t>viduriavimas</w:t>
            </w:r>
          </w:p>
        </w:tc>
      </w:tr>
      <w:tr w:rsidR="00912BDF" w:rsidRPr="00A913BF" w14:paraId="7C0E34E6" w14:textId="77777777" w:rsidTr="00922A4E">
        <w:tc>
          <w:tcPr>
            <w:tcW w:w="1915" w:type="pct"/>
            <w:tcBorders>
              <w:top w:val="single" w:sz="4" w:space="0" w:color="auto"/>
              <w:left w:val="single" w:sz="4" w:space="0" w:color="auto"/>
              <w:bottom w:val="single" w:sz="4" w:space="0" w:color="auto"/>
              <w:right w:val="single" w:sz="4" w:space="0" w:color="auto"/>
            </w:tcBorders>
          </w:tcPr>
          <w:p w14:paraId="4D2B4C84" w14:textId="77777777" w:rsidR="00912BDF" w:rsidRPr="00A913BF" w:rsidRDefault="00912BDF" w:rsidP="00922A4E">
            <w:pPr>
              <w:rPr>
                <w:szCs w:val="22"/>
              </w:rPr>
            </w:pPr>
            <w:r w:rsidRPr="00A913BF">
              <w:rPr>
                <w:szCs w:val="22"/>
              </w:rPr>
              <w:t>Kepenų, tulžies pūslės ir latakų sutrikimai</w:t>
            </w:r>
          </w:p>
        </w:tc>
        <w:tc>
          <w:tcPr>
            <w:tcW w:w="851" w:type="pct"/>
            <w:tcBorders>
              <w:top w:val="single" w:sz="4" w:space="0" w:color="auto"/>
              <w:left w:val="single" w:sz="4" w:space="0" w:color="auto"/>
              <w:bottom w:val="single" w:sz="4" w:space="0" w:color="auto"/>
              <w:right w:val="single" w:sz="4" w:space="0" w:color="auto"/>
            </w:tcBorders>
          </w:tcPr>
          <w:p w14:paraId="11234178" w14:textId="77777777" w:rsidR="00912BDF" w:rsidRPr="00A913BF" w:rsidRDefault="00912BDF" w:rsidP="00922A4E">
            <w:pPr>
              <w:rPr>
                <w:szCs w:val="22"/>
              </w:rPr>
            </w:pPr>
            <w:r w:rsidRPr="00A913BF">
              <w:rPr>
                <w:szCs w:val="22"/>
              </w:rPr>
              <w:t>labai reta</w:t>
            </w:r>
            <w:r>
              <w:rPr>
                <w:szCs w:val="22"/>
              </w:rPr>
              <w:t>s</w:t>
            </w:r>
            <w:r w:rsidRPr="00A913BF">
              <w:rPr>
                <w:szCs w:val="22"/>
              </w:rPr>
              <w:t xml:space="preserve"> </w:t>
            </w:r>
          </w:p>
        </w:tc>
        <w:tc>
          <w:tcPr>
            <w:tcW w:w="2234" w:type="pct"/>
            <w:tcBorders>
              <w:top w:val="single" w:sz="4" w:space="0" w:color="auto"/>
              <w:left w:val="single" w:sz="4" w:space="0" w:color="auto"/>
              <w:bottom w:val="single" w:sz="4" w:space="0" w:color="auto"/>
              <w:right w:val="single" w:sz="4" w:space="0" w:color="auto"/>
            </w:tcBorders>
          </w:tcPr>
          <w:p w14:paraId="10934016" w14:textId="77777777" w:rsidR="00912BDF" w:rsidRPr="00A913BF" w:rsidRDefault="00912BDF" w:rsidP="00922A4E">
            <w:pPr>
              <w:rPr>
                <w:szCs w:val="22"/>
              </w:rPr>
            </w:pPr>
            <w:r w:rsidRPr="00A913BF">
              <w:rPr>
                <w:szCs w:val="22"/>
              </w:rPr>
              <w:t>padidėjęs kepenų fermentų aktyvumas, sutrikusi kepenų funkcija ar hepatitas</w:t>
            </w:r>
          </w:p>
        </w:tc>
      </w:tr>
      <w:tr w:rsidR="00912BDF" w:rsidRPr="00A913BF" w14:paraId="562F3287" w14:textId="77777777" w:rsidTr="00922A4E">
        <w:tc>
          <w:tcPr>
            <w:tcW w:w="1915" w:type="pct"/>
            <w:tcBorders>
              <w:top w:val="single" w:sz="4" w:space="0" w:color="auto"/>
              <w:left w:val="single" w:sz="4" w:space="0" w:color="auto"/>
              <w:bottom w:val="single" w:sz="4" w:space="0" w:color="auto"/>
              <w:right w:val="single" w:sz="4" w:space="0" w:color="auto"/>
            </w:tcBorders>
          </w:tcPr>
          <w:p w14:paraId="48106280" w14:textId="77777777" w:rsidR="00912BDF" w:rsidRPr="00A913BF" w:rsidRDefault="00912BDF" w:rsidP="00922A4E">
            <w:pPr>
              <w:rPr>
                <w:szCs w:val="22"/>
              </w:rPr>
            </w:pPr>
            <w:r w:rsidRPr="00A913BF">
              <w:rPr>
                <w:szCs w:val="22"/>
              </w:rPr>
              <w:t>Odos ir poodinio audinio sutrikimai</w:t>
            </w:r>
          </w:p>
        </w:tc>
        <w:tc>
          <w:tcPr>
            <w:tcW w:w="851" w:type="pct"/>
            <w:tcBorders>
              <w:top w:val="single" w:sz="4" w:space="0" w:color="auto"/>
              <w:left w:val="single" w:sz="4" w:space="0" w:color="auto"/>
              <w:bottom w:val="single" w:sz="4" w:space="0" w:color="auto"/>
              <w:right w:val="single" w:sz="4" w:space="0" w:color="auto"/>
            </w:tcBorders>
          </w:tcPr>
          <w:p w14:paraId="379FA796" w14:textId="77777777" w:rsidR="00912BDF" w:rsidRPr="00A913BF" w:rsidRDefault="00912BDF" w:rsidP="00922A4E">
            <w:pPr>
              <w:rPr>
                <w:szCs w:val="22"/>
              </w:rPr>
            </w:pPr>
            <w:r w:rsidRPr="00A913BF">
              <w:rPr>
                <w:szCs w:val="22"/>
              </w:rPr>
              <w:t>labai reta</w:t>
            </w:r>
            <w:r>
              <w:rPr>
                <w:szCs w:val="22"/>
              </w:rPr>
              <w:t>s</w:t>
            </w:r>
            <w:r w:rsidRPr="00A913BF">
              <w:rPr>
                <w:szCs w:val="22"/>
              </w:rPr>
              <w:t xml:space="preserve"> </w:t>
            </w:r>
          </w:p>
        </w:tc>
        <w:tc>
          <w:tcPr>
            <w:tcW w:w="2234" w:type="pct"/>
            <w:tcBorders>
              <w:top w:val="single" w:sz="4" w:space="0" w:color="auto"/>
              <w:left w:val="single" w:sz="4" w:space="0" w:color="auto"/>
              <w:bottom w:val="single" w:sz="4" w:space="0" w:color="auto"/>
              <w:right w:val="single" w:sz="4" w:space="0" w:color="auto"/>
            </w:tcBorders>
          </w:tcPr>
          <w:p w14:paraId="02ECEC3B" w14:textId="77777777" w:rsidR="00912BDF" w:rsidRPr="00A913BF" w:rsidRDefault="00912BDF" w:rsidP="00922A4E">
            <w:pPr>
              <w:rPr>
                <w:szCs w:val="22"/>
              </w:rPr>
            </w:pPr>
            <w:r w:rsidRPr="00A913BF">
              <w:rPr>
                <w:szCs w:val="22"/>
              </w:rPr>
              <w:t>angioneurozinė edema, išbėrimas, dilgėlinė, niežėjimas</w:t>
            </w:r>
          </w:p>
        </w:tc>
      </w:tr>
      <w:tr w:rsidR="00912BDF" w:rsidRPr="00A913BF" w14:paraId="5FA119FC" w14:textId="77777777" w:rsidTr="00922A4E">
        <w:tc>
          <w:tcPr>
            <w:tcW w:w="1915" w:type="pct"/>
            <w:tcBorders>
              <w:top w:val="single" w:sz="4" w:space="0" w:color="auto"/>
              <w:left w:val="single" w:sz="4" w:space="0" w:color="auto"/>
              <w:bottom w:val="single" w:sz="4" w:space="0" w:color="auto"/>
              <w:right w:val="single" w:sz="4" w:space="0" w:color="auto"/>
            </w:tcBorders>
          </w:tcPr>
          <w:p w14:paraId="6BB24D7E" w14:textId="77777777" w:rsidR="00912BDF" w:rsidRPr="00A913BF" w:rsidRDefault="00912BDF" w:rsidP="00922A4E">
            <w:pPr>
              <w:rPr>
                <w:szCs w:val="22"/>
              </w:rPr>
            </w:pPr>
            <w:r w:rsidRPr="00A913BF">
              <w:rPr>
                <w:szCs w:val="22"/>
              </w:rPr>
              <w:t>Skeleto, raumenų ir jungiamojo audinio sutrikimai</w:t>
            </w:r>
          </w:p>
        </w:tc>
        <w:tc>
          <w:tcPr>
            <w:tcW w:w="851" w:type="pct"/>
            <w:tcBorders>
              <w:top w:val="single" w:sz="4" w:space="0" w:color="auto"/>
              <w:left w:val="single" w:sz="4" w:space="0" w:color="auto"/>
              <w:bottom w:val="single" w:sz="4" w:space="0" w:color="auto"/>
              <w:right w:val="single" w:sz="4" w:space="0" w:color="auto"/>
            </w:tcBorders>
          </w:tcPr>
          <w:p w14:paraId="3253D38F" w14:textId="77777777" w:rsidR="00912BDF" w:rsidRPr="00A913BF" w:rsidRDefault="00912BDF" w:rsidP="00922A4E">
            <w:pPr>
              <w:rPr>
                <w:szCs w:val="22"/>
              </w:rPr>
            </w:pPr>
            <w:r w:rsidRPr="00A913BF">
              <w:rPr>
                <w:szCs w:val="22"/>
              </w:rPr>
              <w:t>labai reta</w:t>
            </w:r>
            <w:r>
              <w:rPr>
                <w:szCs w:val="22"/>
              </w:rPr>
              <w:t>s</w:t>
            </w:r>
            <w:r w:rsidRPr="00A913BF">
              <w:rPr>
                <w:szCs w:val="22"/>
              </w:rPr>
              <w:t xml:space="preserve"> </w:t>
            </w:r>
          </w:p>
        </w:tc>
        <w:tc>
          <w:tcPr>
            <w:tcW w:w="2234" w:type="pct"/>
            <w:tcBorders>
              <w:top w:val="single" w:sz="4" w:space="0" w:color="auto"/>
              <w:left w:val="single" w:sz="4" w:space="0" w:color="auto"/>
              <w:bottom w:val="single" w:sz="4" w:space="0" w:color="auto"/>
              <w:right w:val="single" w:sz="4" w:space="0" w:color="auto"/>
            </w:tcBorders>
          </w:tcPr>
          <w:p w14:paraId="54E7E74B" w14:textId="77777777" w:rsidR="00912BDF" w:rsidRPr="00A913BF" w:rsidRDefault="00912BDF" w:rsidP="00922A4E">
            <w:pPr>
              <w:rPr>
                <w:szCs w:val="22"/>
              </w:rPr>
            </w:pPr>
            <w:r w:rsidRPr="00A913BF">
              <w:rPr>
                <w:szCs w:val="22"/>
              </w:rPr>
              <w:t>nugaros skausmas, artralgija, mialgija</w:t>
            </w:r>
          </w:p>
        </w:tc>
      </w:tr>
      <w:tr w:rsidR="00912BDF" w:rsidRPr="00A913BF" w14:paraId="1ACA3B5F" w14:textId="77777777" w:rsidTr="00922A4E">
        <w:tc>
          <w:tcPr>
            <w:tcW w:w="1915" w:type="pct"/>
            <w:tcBorders>
              <w:top w:val="single" w:sz="4" w:space="0" w:color="auto"/>
              <w:left w:val="single" w:sz="4" w:space="0" w:color="auto"/>
              <w:bottom w:val="single" w:sz="4" w:space="0" w:color="auto"/>
              <w:right w:val="single" w:sz="4" w:space="0" w:color="auto"/>
            </w:tcBorders>
          </w:tcPr>
          <w:p w14:paraId="426ECE69" w14:textId="77777777" w:rsidR="00912BDF" w:rsidRPr="00A913BF" w:rsidRDefault="00912BDF" w:rsidP="00922A4E">
            <w:pPr>
              <w:rPr>
                <w:szCs w:val="22"/>
              </w:rPr>
            </w:pPr>
            <w:r w:rsidRPr="00A913BF">
              <w:rPr>
                <w:szCs w:val="22"/>
              </w:rPr>
              <w:lastRenderedPageBreak/>
              <w:t>Inkstų ir šlapimo takų sutrikimai</w:t>
            </w:r>
          </w:p>
        </w:tc>
        <w:tc>
          <w:tcPr>
            <w:tcW w:w="851" w:type="pct"/>
            <w:tcBorders>
              <w:top w:val="single" w:sz="4" w:space="0" w:color="auto"/>
              <w:left w:val="single" w:sz="4" w:space="0" w:color="auto"/>
              <w:bottom w:val="single" w:sz="4" w:space="0" w:color="auto"/>
              <w:right w:val="single" w:sz="4" w:space="0" w:color="auto"/>
            </w:tcBorders>
          </w:tcPr>
          <w:p w14:paraId="2FF16145" w14:textId="77777777" w:rsidR="00912BDF" w:rsidRPr="00A913BF" w:rsidRDefault="00912BDF" w:rsidP="00922A4E">
            <w:pPr>
              <w:rPr>
                <w:szCs w:val="22"/>
              </w:rPr>
            </w:pPr>
            <w:r w:rsidRPr="00A913BF">
              <w:rPr>
                <w:szCs w:val="22"/>
              </w:rPr>
              <w:t>labai reta</w:t>
            </w:r>
            <w:r>
              <w:rPr>
                <w:szCs w:val="22"/>
              </w:rPr>
              <w:t>s</w:t>
            </w:r>
            <w:r w:rsidRPr="00A913BF">
              <w:rPr>
                <w:szCs w:val="22"/>
              </w:rPr>
              <w:t xml:space="preserve"> </w:t>
            </w:r>
          </w:p>
        </w:tc>
        <w:tc>
          <w:tcPr>
            <w:tcW w:w="2234" w:type="pct"/>
            <w:tcBorders>
              <w:top w:val="single" w:sz="4" w:space="0" w:color="auto"/>
              <w:left w:val="single" w:sz="4" w:space="0" w:color="auto"/>
              <w:bottom w:val="single" w:sz="4" w:space="0" w:color="auto"/>
              <w:right w:val="single" w:sz="4" w:space="0" w:color="auto"/>
            </w:tcBorders>
          </w:tcPr>
          <w:p w14:paraId="5A2D66B6" w14:textId="77777777" w:rsidR="00912BDF" w:rsidRPr="00A913BF" w:rsidRDefault="00912BDF" w:rsidP="00922A4E">
            <w:pPr>
              <w:rPr>
                <w:szCs w:val="22"/>
              </w:rPr>
            </w:pPr>
            <w:r w:rsidRPr="00A913BF">
              <w:rPr>
                <w:szCs w:val="22"/>
              </w:rPr>
              <w:t>sutrikusi inkstų funkcija, įskaitant jautrių pacientų inkstų nepakankamumą (žr. 4.4 skyrių)</w:t>
            </w:r>
          </w:p>
        </w:tc>
      </w:tr>
    </w:tbl>
    <w:p w14:paraId="5B546A86" w14:textId="77777777" w:rsidR="00912BDF" w:rsidRPr="00A913BF" w:rsidRDefault="00912BDF" w:rsidP="00912BDF">
      <w:pPr>
        <w:rPr>
          <w:szCs w:val="22"/>
        </w:rPr>
      </w:pPr>
    </w:p>
    <w:p w14:paraId="50878DAA" w14:textId="77777777" w:rsidR="00912BDF" w:rsidRPr="00A913BF" w:rsidRDefault="00912BDF" w:rsidP="00912BDF">
      <w:pPr>
        <w:rPr>
          <w:i/>
          <w:iCs/>
          <w:szCs w:val="22"/>
          <w:u w:val="single"/>
        </w:rPr>
      </w:pPr>
      <w:r w:rsidRPr="00A913BF">
        <w:rPr>
          <w:i/>
          <w:iCs/>
          <w:szCs w:val="22"/>
          <w:u w:val="single"/>
        </w:rPr>
        <w:t>Laboratorinių tyrimų duomenys</w:t>
      </w:r>
    </w:p>
    <w:p w14:paraId="7B529DAD" w14:textId="77777777" w:rsidR="00912BDF" w:rsidRPr="00A913BF" w:rsidRDefault="00912BDF" w:rsidP="00912BDF">
      <w:pPr>
        <w:rPr>
          <w:szCs w:val="22"/>
        </w:rPr>
      </w:pPr>
      <w:r w:rsidRPr="00A913BF">
        <w:rPr>
          <w:szCs w:val="22"/>
        </w:rPr>
        <w:t>Klinikai reikšmingo Atacand poveikio įprastų laboratorinių tyrimų rodikliams nebuvo. Vartojant šį vaistinį preparatą (kaip ir kitus renino, angiotenzino ir aldosterono sistemos inhibitorius), buvo nežymaus hemoglobino koncentracijos sumažėjimo atvejų. Įprastinio laboratorinių tyrimų rodiklių stebėjimo Atacand vartojantiems pacientams dažniausiai nereikia, tačiau rekomenduojama periodiškai tirti kalio ir kreatinino koncentraciją inkstų nepakankamumu sergančių pacientų serume.</w:t>
      </w:r>
    </w:p>
    <w:p w14:paraId="2B77FDC5" w14:textId="77777777" w:rsidR="00912BDF" w:rsidRPr="00A913BF" w:rsidRDefault="00912BDF" w:rsidP="00912BDF">
      <w:pPr>
        <w:rPr>
          <w:szCs w:val="22"/>
        </w:rPr>
      </w:pPr>
    </w:p>
    <w:p w14:paraId="354F353A" w14:textId="77777777" w:rsidR="00912BDF" w:rsidRPr="00A913BF" w:rsidRDefault="00912BDF" w:rsidP="00912BDF">
      <w:pPr>
        <w:rPr>
          <w:szCs w:val="22"/>
          <w:u w:val="single"/>
        </w:rPr>
      </w:pPr>
      <w:r w:rsidRPr="00A913BF">
        <w:rPr>
          <w:i/>
          <w:szCs w:val="22"/>
          <w:u w:val="single"/>
        </w:rPr>
        <w:t>Vaikų populiacija</w:t>
      </w:r>
    </w:p>
    <w:p w14:paraId="3AB9B090" w14:textId="77777777" w:rsidR="00912BDF" w:rsidRPr="00A913BF" w:rsidRDefault="00912BDF" w:rsidP="00912BDF">
      <w:pPr>
        <w:rPr>
          <w:szCs w:val="22"/>
        </w:rPr>
      </w:pPr>
      <w:r w:rsidRPr="00A913BF">
        <w:rPr>
          <w:szCs w:val="22"/>
        </w:rPr>
        <w:t>Kandesartano cileksetilo saugumas vertintas atliekant 4 savaičių klinikinio veiksmingumo tyrimą ir 1 metų atvirą tyrimą (dalyvavo 255 hipertenzija sirgę vaikai, kurių amžius buvo nuo 6 iki 18 metų, žr. 5.1 skyrių). Beveik visų organų sistemų nepageidaujami reiškiniai vaikams buvo dažni arba nedažni. Vaikams užfiksuoti nepageidaujami reiškiniai buvo panašaus pobūdžio ir sunkumo kaip suaugusiesiems (žr. aukščiau pateiktą lentelę), tačiau jų visų pasireiškė dažniau, ypač:</w:t>
      </w:r>
    </w:p>
    <w:p w14:paraId="00B74A86" w14:textId="77777777" w:rsidR="00912BDF" w:rsidRPr="00A913BF" w:rsidRDefault="00912BDF" w:rsidP="00912BDF">
      <w:pPr>
        <w:numPr>
          <w:ilvl w:val="0"/>
          <w:numId w:val="1"/>
        </w:numPr>
        <w:rPr>
          <w:szCs w:val="22"/>
        </w:rPr>
      </w:pPr>
      <w:r w:rsidRPr="00A913BF">
        <w:rPr>
          <w:szCs w:val="22"/>
        </w:rPr>
        <w:t>vaikams galvos skausmas, galvos svaigimas ir viršutinių kvėpavimo takų infekcija pasireiškė labai dažnai (≥ 1 iš 10), suaugusiesiems – dažnai (nuo ≥ 1/100 iki &lt; 1/10);</w:t>
      </w:r>
    </w:p>
    <w:p w14:paraId="12B2B1BA" w14:textId="77777777" w:rsidR="00912BDF" w:rsidRPr="00A913BF" w:rsidRDefault="00912BDF" w:rsidP="00912BDF">
      <w:pPr>
        <w:numPr>
          <w:ilvl w:val="0"/>
          <w:numId w:val="1"/>
        </w:numPr>
        <w:rPr>
          <w:szCs w:val="22"/>
        </w:rPr>
      </w:pPr>
      <w:r w:rsidRPr="00A913BF">
        <w:rPr>
          <w:szCs w:val="22"/>
        </w:rPr>
        <w:t>vaikams kosulys pasireiškė labai dažnai (≥ 1 iš 10), suaugusiesiems – labai retai (&lt; 1 iš 10 000);</w:t>
      </w:r>
    </w:p>
    <w:p w14:paraId="6C58E524" w14:textId="77777777" w:rsidR="00912BDF" w:rsidRPr="00A913BF" w:rsidRDefault="00912BDF" w:rsidP="00912BDF">
      <w:pPr>
        <w:numPr>
          <w:ilvl w:val="0"/>
          <w:numId w:val="1"/>
        </w:numPr>
        <w:rPr>
          <w:szCs w:val="22"/>
        </w:rPr>
      </w:pPr>
      <w:r w:rsidRPr="00A913BF">
        <w:rPr>
          <w:szCs w:val="22"/>
        </w:rPr>
        <w:t>vaikams išbėrimas pasireiškė dažnai (nuo ≥ 1/100 iki &lt; 1/10), suaugusiesiems – labai retai (&lt; 1 iš 10 000);</w:t>
      </w:r>
    </w:p>
    <w:p w14:paraId="295B80BE" w14:textId="77777777" w:rsidR="00912BDF" w:rsidRPr="00A913BF" w:rsidRDefault="00912BDF" w:rsidP="00912BDF">
      <w:pPr>
        <w:numPr>
          <w:ilvl w:val="0"/>
          <w:numId w:val="1"/>
        </w:numPr>
        <w:rPr>
          <w:szCs w:val="22"/>
        </w:rPr>
      </w:pPr>
      <w:r w:rsidRPr="00A913BF">
        <w:rPr>
          <w:szCs w:val="22"/>
        </w:rPr>
        <w:t>vaikams hiperkalemija, hiponatremija ir kepenų funkcijos anomalijų pasireiškė nedažnai (nuo ≥ 1/1000 iki &lt; 1/100), suaugusiesiems – labai retai (&lt; 1 iš 10 000);</w:t>
      </w:r>
    </w:p>
    <w:p w14:paraId="3666AF0C" w14:textId="77777777" w:rsidR="00912BDF" w:rsidRPr="00A913BF" w:rsidRDefault="00912BDF" w:rsidP="00912BDF">
      <w:pPr>
        <w:numPr>
          <w:ilvl w:val="0"/>
          <w:numId w:val="1"/>
        </w:numPr>
        <w:rPr>
          <w:szCs w:val="22"/>
        </w:rPr>
      </w:pPr>
      <w:r w:rsidRPr="00A913BF">
        <w:rPr>
          <w:szCs w:val="22"/>
        </w:rPr>
        <w:t>vaikams sinusinė aritmija, nazofaringitas ir karščiavimas pasireiškė dažnai (nuo ≥ 1/100 iki &lt; 1/10), burnos ertmės ir ryklės skausmas – labai dažnai (≥ 1 iš 10), o suaugusiesiems šių sutrikimų neužfiksuota. Vis dėlto pažymėtina, kad šie sutrikimai yra laikini ir plačiai paplitę tarp vaikų.</w:t>
      </w:r>
    </w:p>
    <w:p w14:paraId="1C5637C7" w14:textId="77777777" w:rsidR="00912BDF" w:rsidRPr="00A913BF" w:rsidRDefault="00912BDF" w:rsidP="00912BDF">
      <w:pPr>
        <w:rPr>
          <w:szCs w:val="22"/>
        </w:rPr>
      </w:pPr>
    </w:p>
    <w:p w14:paraId="32A68DA8" w14:textId="77777777" w:rsidR="00912BDF" w:rsidRPr="00A913BF" w:rsidRDefault="00912BDF" w:rsidP="00912BDF">
      <w:pPr>
        <w:rPr>
          <w:szCs w:val="22"/>
        </w:rPr>
      </w:pPr>
      <w:r w:rsidRPr="00A913BF">
        <w:rPr>
          <w:szCs w:val="22"/>
        </w:rPr>
        <w:t>Bendras kandesartano cileksetilo saugumo pobūdis vaikams reikšmingai nesiskiria nuo nustatyto suaugusiesiems.</w:t>
      </w:r>
    </w:p>
    <w:p w14:paraId="3A9540FF" w14:textId="77777777" w:rsidR="00912BDF" w:rsidRPr="00A913BF" w:rsidRDefault="00912BDF" w:rsidP="00912BDF">
      <w:pPr>
        <w:rPr>
          <w:szCs w:val="22"/>
        </w:rPr>
      </w:pPr>
    </w:p>
    <w:p w14:paraId="0AEB3DBF" w14:textId="77777777" w:rsidR="00912BDF" w:rsidRPr="00A913BF" w:rsidRDefault="00912BDF" w:rsidP="00912BDF">
      <w:pPr>
        <w:rPr>
          <w:iCs/>
          <w:szCs w:val="22"/>
          <w:u w:val="single"/>
        </w:rPr>
      </w:pPr>
      <w:r w:rsidRPr="00A913BF">
        <w:rPr>
          <w:iCs/>
          <w:szCs w:val="22"/>
          <w:u w:val="single"/>
        </w:rPr>
        <w:t>Gydant širdies nepakankamumą</w:t>
      </w:r>
    </w:p>
    <w:p w14:paraId="7DAC8A52" w14:textId="77777777" w:rsidR="00912BDF" w:rsidRPr="00A913BF" w:rsidRDefault="00912BDF" w:rsidP="00912BDF">
      <w:pPr>
        <w:rPr>
          <w:szCs w:val="22"/>
        </w:rPr>
      </w:pPr>
      <w:r w:rsidRPr="00A913BF">
        <w:rPr>
          <w:szCs w:val="22"/>
        </w:rPr>
        <w:t>Nepageidaujamų reiškinių pobūdis Atacand vartojusiems suaugusiems širdies nepakankamumu sirgusiems pacientams atitinka šio vaistinio preparato farmakologines savybes ir pacientų sveikatos būklę. Atliekant CHARM programos klinikinius tyrimus, kuomet lygintas iki 32 mg Atacand dozių (n = 3803) ir placebo (n = 3796) poveikis, 21% kandesartano cileksetilo grupės ir 16,1% placebo grupės pacientų nutraukė gydymą dėl nepageidaujamų reiškinių. Nepageidaujamos reakcijos, apie kurias gauta daugiausia pranešimų, buvo hiperkalemija, hipotenzija ir inkstų nepakankamumas. Jų dažniau pasireiškė vyresniems kaip 70 metų, sergantiems diabetu, taip pat kitus renino, angiotenzino ir aldosterono sistemą slopinančius vaistinius preparatus (ypač AKF inhibitorius ir / arba spironolaktoną) kartu vartojusiems pacientams.</w:t>
      </w:r>
    </w:p>
    <w:p w14:paraId="5F4365FF" w14:textId="77777777" w:rsidR="00912BDF" w:rsidRPr="00A913BF" w:rsidRDefault="00912BDF" w:rsidP="00912BDF">
      <w:pPr>
        <w:tabs>
          <w:tab w:val="left" w:pos="0"/>
        </w:tabs>
        <w:rPr>
          <w:szCs w:val="22"/>
        </w:rPr>
      </w:pPr>
    </w:p>
    <w:p w14:paraId="37ACCB5E" w14:textId="77777777" w:rsidR="00912BDF" w:rsidRPr="00A913BF" w:rsidRDefault="00912BDF" w:rsidP="00912BDF">
      <w:pPr>
        <w:tabs>
          <w:tab w:val="left" w:pos="0"/>
        </w:tabs>
        <w:rPr>
          <w:b/>
          <w:szCs w:val="22"/>
        </w:rPr>
      </w:pPr>
      <w:r w:rsidRPr="00A913BF">
        <w:rPr>
          <w:szCs w:val="22"/>
        </w:rPr>
        <w:t>Žemiau pateikiamoje lentelėje nepageidaujamų reakcijų dažnis nurodomas remiantis klinikinių tyrimų duomenimis ir šį vaistinį preparatą pateikus į rinką sukaupta patirtimi.</w:t>
      </w:r>
    </w:p>
    <w:p w14:paraId="7B02A5EB" w14:textId="77777777" w:rsidR="00912BDF" w:rsidRPr="00A913BF" w:rsidRDefault="00912BDF" w:rsidP="00912BDF">
      <w:pPr>
        <w:ind w:left="567" w:hanging="567"/>
        <w:rPr>
          <w:b/>
          <w:szCs w:val="22"/>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70"/>
        <w:gridCol w:w="1542"/>
        <w:gridCol w:w="4048"/>
      </w:tblGrid>
      <w:tr w:rsidR="00912BDF" w:rsidRPr="00A913BF" w14:paraId="044D947F" w14:textId="77777777" w:rsidTr="00922A4E">
        <w:trPr>
          <w:tblHeader/>
        </w:trPr>
        <w:tc>
          <w:tcPr>
            <w:tcW w:w="1915" w:type="pct"/>
            <w:tcBorders>
              <w:top w:val="single" w:sz="4" w:space="0" w:color="auto"/>
              <w:left w:val="single" w:sz="4" w:space="0" w:color="auto"/>
              <w:bottom w:val="single" w:sz="4" w:space="0" w:color="auto"/>
              <w:right w:val="single" w:sz="4" w:space="0" w:color="auto"/>
            </w:tcBorders>
          </w:tcPr>
          <w:p w14:paraId="2FA4213B" w14:textId="77777777" w:rsidR="00912BDF" w:rsidRPr="00A913BF" w:rsidRDefault="00912BDF" w:rsidP="00922A4E">
            <w:pPr>
              <w:rPr>
                <w:b/>
                <w:bCs/>
                <w:szCs w:val="22"/>
              </w:rPr>
            </w:pPr>
            <w:r w:rsidRPr="00A913BF">
              <w:rPr>
                <w:b/>
                <w:bCs/>
                <w:szCs w:val="22"/>
              </w:rPr>
              <w:t>Organų sistemų klasės</w:t>
            </w:r>
          </w:p>
        </w:tc>
        <w:tc>
          <w:tcPr>
            <w:tcW w:w="851" w:type="pct"/>
            <w:tcBorders>
              <w:top w:val="single" w:sz="4" w:space="0" w:color="auto"/>
              <w:left w:val="single" w:sz="4" w:space="0" w:color="auto"/>
              <w:bottom w:val="single" w:sz="4" w:space="0" w:color="auto"/>
              <w:right w:val="single" w:sz="4" w:space="0" w:color="auto"/>
            </w:tcBorders>
          </w:tcPr>
          <w:p w14:paraId="469BADD3" w14:textId="77777777" w:rsidR="00912BDF" w:rsidRPr="00A913BF" w:rsidRDefault="00912BDF" w:rsidP="00922A4E">
            <w:pPr>
              <w:rPr>
                <w:b/>
                <w:bCs/>
                <w:szCs w:val="22"/>
              </w:rPr>
            </w:pPr>
            <w:r w:rsidRPr="00A913BF">
              <w:rPr>
                <w:b/>
                <w:bCs/>
                <w:szCs w:val="22"/>
              </w:rPr>
              <w:t>Dažnis</w:t>
            </w:r>
          </w:p>
        </w:tc>
        <w:tc>
          <w:tcPr>
            <w:tcW w:w="2234" w:type="pct"/>
            <w:tcBorders>
              <w:top w:val="single" w:sz="4" w:space="0" w:color="auto"/>
              <w:left w:val="single" w:sz="4" w:space="0" w:color="auto"/>
              <w:bottom w:val="single" w:sz="4" w:space="0" w:color="auto"/>
              <w:right w:val="single" w:sz="4" w:space="0" w:color="auto"/>
            </w:tcBorders>
          </w:tcPr>
          <w:p w14:paraId="5D6845E0" w14:textId="77777777" w:rsidR="00912BDF" w:rsidRPr="00A913BF" w:rsidRDefault="00912BDF" w:rsidP="00922A4E">
            <w:pPr>
              <w:rPr>
                <w:b/>
                <w:bCs/>
                <w:szCs w:val="22"/>
              </w:rPr>
            </w:pPr>
            <w:r w:rsidRPr="00A913BF">
              <w:rPr>
                <w:b/>
                <w:bCs/>
                <w:szCs w:val="22"/>
              </w:rPr>
              <w:t>Nepageidaujamas poveikis</w:t>
            </w:r>
          </w:p>
        </w:tc>
      </w:tr>
      <w:tr w:rsidR="00912BDF" w:rsidRPr="00A913BF" w14:paraId="7E816C27" w14:textId="77777777" w:rsidTr="00922A4E">
        <w:tc>
          <w:tcPr>
            <w:tcW w:w="1915" w:type="pct"/>
            <w:tcBorders>
              <w:top w:val="single" w:sz="4" w:space="0" w:color="auto"/>
              <w:left w:val="single" w:sz="4" w:space="0" w:color="auto"/>
              <w:bottom w:val="single" w:sz="4" w:space="0" w:color="auto"/>
              <w:right w:val="single" w:sz="4" w:space="0" w:color="auto"/>
            </w:tcBorders>
          </w:tcPr>
          <w:p w14:paraId="2F4671C1" w14:textId="77777777" w:rsidR="00912BDF" w:rsidRPr="00A913BF" w:rsidRDefault="00912BDF" w:rsidP="00922A4E">
            <w:pPr>
              <w:rPr>
                <w:szCs w:val="22"/>
              </w:rPr>
            </w:pPr>
            <w:r w:rsidRPr="00A913BF">
              <w:rPr>
                <w:szCs w:val="22"/>
              </w:rPr>
              <w:t>Kraujo ir limfinės sistemos sutrikimai</w:t>
            </w:r>
          </w:p>
        </w:tc>
        <w:tc>
          <w:tcPr>
            <w:tcW w:w="851" w:type="pct"/>
            <w:tcBorders>
              <w:top w:val="single" w:sz="4" w:space="0" w:color="auto"/>
              <w:left w:val="single" w:sz="4" w:space="0" w:color="auto"/>
              <w:bottom w:val="single" w:sz="4" w:space="0" w:color="auto"/>
              <w:right w:val="single" w:sz="4" w:space="0" w:color="auto"/>
            </w:tcBorders>
          </w:tcPr>
          <w:p w14:paraId="3C86B3A2" w14:textId="77777777" w:rsidR="00912BDF" w:rsidRPr="00A913BF" w:rsidRDefault="00912BDF" w:rsidP="00922A4E">
            <w:pPr>
              <w:rPr>
                <w:szCs w:val="22"/>
              </w:rPr>
            </w:pPr>
            <w:r w:rsidRPr="00A913BF">
              <w:rPr>
                <w:szCs w:val="22"/>
              </w:rPr>
              <w:t>labai reta</w:t>
            </w:r>
            <w:r>
              <w:rPr>
                <w:szCs w:val="22"/>
              </w:rPr>
              <w:t>s</w:t>
            </w:r>
            <w:r w:rsidRPr="00A913BF">
              <w:rPr>
                <w:szCs w:val="22"/>
              </w:rPr>
              <w:t xml:space="preserve"> </w:t>
            </w:r>
          </w:p>
        </w:tc>
        <w:tc>
          <w:tcPr>
            <w:tcW w:w="2234" w:type="pct"/>
            <w:tcBorders>
              <w:top w:val="single" w:sz="4" w:space="0" w:color="auto"/>
              <w:left w:val="single" w:sz="4" w:space="0" w:color="auto"/>
              <w:bottom w:val="single" w:sz="4" w:space="0" w:color="auto"/>
              <w:right w:val="single" w:sz="4" w:space="0" w:color="auto"/>
            </w:tcBorders>
          </w:tcPr>
          <w:p w14:paraId="16A62260" w14:textId="77777777" w:rsidR="00912BDF" w:rsidRPr="00A913BF" w:rsidRDefault="00912BDF" w:rsidP="00922A4E">
            <w:pPr>
              <w:rPr>
                <w:szCs w:val="22"/>
              </w:rPr>
            </w:pPr>
            <w:r w:rsidRPr="00A913BF">
              <w:rPr>
                <w:szCs w:val="22"/>
              </w:rPr>
              <w:t>leukopenija, neutropenija ir agranulocitozė</w:t>
            </w:r>
          </w:p>
        </w:tc>
      </w:tr>
      <w:tr w:rsidR="00912BDF" w:rsidRPr="00A913BF" w14:paraId="0DD2F54C" w14:textId="77777777" w:rsidTr="00922A4E">
        <w:tc>
          <w:tcPr>
            <w:tcW w:w="1915" w:type="pct"/>
            <w:tcBorders>
              <w:top w:val="single" w:sz="4" w:space="0" w:color="auto"/>
              <w:left w:val="single" w:sz="4" w:space="0" w:color="auto"/>
              <w:bottom w:val="nil"/>
              <w:right w:val="single" w:sz="4" w:space="0" w:color="auto"/>
            </w:tcBorders>
          </w:tcPr>
          <w:p w14:paraId="461F059C" w14:textId="77777777" w:rsidR="00912BDF" w:rsidRPr="00A913BF" w:rsidRDefault="00912BDF" w:rsidP="00922A4E">
            <w:pPr>
              <w:rPr>
                <w:szCs w:val="22"/>
              </w:rPr>
            </w:pPr>
            <w:r w:rsidRPr="00A913BF">
              <w:rPr>
                <w:szCs w:val="22"/>
              </w:rPr>
              <w:t>Metabolizmo ir mitybos sutrikimai</w:t>
            </w:r>
          </w:p>
        </w:tc>
        <w:tc>
          <w:tcPr>
            <w:tcW w:w="851" w:type="pct"/>
            <w:tcBorders>
              <w:top w:val="single" w:sz="4" w:space="0" w:color="auto"/>
              <w:left w:val="single" w:sz="4" w:space="0" w:color="auto"/>
              <w:bottom w:val="single" w:sz="4" w:space="0" w:color="auto"/>
              <w:right w:val="single" w:sz="4" w:space="0" w:color="auto"/>
            </w:tcBorders>
          </w:tcPr>
          <w:p w14:paraId="2F270BD0" w14:textId="77777777" w:rsidR="00912BDF" w:rsidRPr="00A913BF" w:rsidRDefault="00912BDF" w:rsidP="00922A4E">
            <w:pPr>
              <w:rPr>
                <w:szCs w:val="22"/>
              </w:rPr>
            </w:pPr>
            <w:r w:rsidRPr="00A913BF">
              <w:rPr>
                <w:szCs w:val="22"/>
              </w:rPr>
              <w:t>dažna</w:t>
            </w:r>
            <w:r>
              <w:rPr>
                <w:szCs w:val="22"/>
              </w:rPr>
              <w:t>s</w:t>
            </w:r>
          </w:p>
        </w:tc>
        <w:tc>
          <w:tcPr>
            <w:tcW w:w="2234" w:type="pct"/>
            <w:tcBorders>
              <w:top w:val="single" w:sz="4" w:space="0" w:color="auto"/>
              <w:left w:val="single" w:sz="4" w:space="0" w:color="auto"/>
              <w:bottom w:val="single" w:sz="4" w:space="0" w:color="auto"/>
              <w:right w:val="single" w:sz="4" w:space="0" w:color="auto"/>
            </w:tcBorders>
          </w:tcPr>
          <w:p w14:paraId="07FCF1C0" w14:textId="77777777" w:rsidR="00912BDF" w:rsidRPr="00A913BF" w:rsidRDefault="00912BDF" w:rsidP="00922A4E">
            <w:pPr>
              <w:rPr>
                <w:szCs w:val="22"/>
              </w:rPr>
            </w:pPr>
            <w:r w:rsidRPr="00A913BF">
              <w:rPr>
                <w:szCs w:val="22"/>
              </w:rPr>
              <w:t>hiperkalemija</w:t>
            </w:r>
          </w:p>
        </w:tc>
      </w:tr>
      <w:tr w:rsidR="00912BDF" w:rsidRPr="00A913BF" w14:paraId="4B627887" w14:textId="77777777" w:rsidTr="00922A4E">
        <w:tc>
          <w:tcPr>
            <w:tcW w:w="1915" w:type="pct"/>
            <w:tcBorders>
              <w:top w:val="nil"/>
              <w:left w:val="single" w:sz="4" w:space="0" w:color="auto"/>
              <w:bottom w:val="single" w:sz="4" w:space="0" w:color="auto"/>
              <w:right w:val="single" w:sz="4" w:space="0" w:color="auto"/>
            </w:tcBorders>
          </w:tcPr>
          <w:p w14:paraId="71190DF8" w14:textId="77777777" w:rsidR="00912BDF" w:rsidRPr="00A913BF" w:rsidRDefault="00912BDF" w:rsidP="00922A4E">
            <w:pPr>
              <w:rPr>
                <w:szCs w:val="22"/>
              </w:rPr>
            </w:pPr>
          </w:p>
        </w:tc>
        <w:tc>
          <w:tcPr>
            <w:tcW w:w="851" w:type="pct"/>
            <w:tcBorders>
              <w:top w:val="single" w:sz="4" w:space="0" w:color="auto"/>
              <w:left w:val="single" w:sz="4" w:space="0" w:color="auto"/>
              <w:bottom w:val="single" w:sz="4" w:space="0" w:color="auto"/>
              <w:right w:val="single" w:sz="4" w:space="0" w:color="auto"/>
            </w:tcBorders>
          </w:tcPr>
          <w:p w14:paraId="6939C71F" w14:textId="77777777" w:rsidR="00912BDF" w:rsidRPr="00A913BF" w:rsidRDefault="00912BDF" w:rsidP="00922A4E">
            <w:pPr>
              <w:rPr>
                <w:szCs w:val="22"/>
              </w:rPr>
            </w:pPr>
            <w:r w:rsidRPr="00A913BF">
              <w:rPr>
                <w:szCs w:val="22"/>
              </w:rPr>
              <w:t>labai reta</w:t>
            </w:r>
            <w:r>
              <w:rPr>
                <w:szCs w:val="22"/>
              </w:rPr>
              <w:t>s</w:t>
            </w:r>
          </w:p>
        </w:tc>
        <w:tc>
          <w:tcPr>
            <w:tcW w:w="2234" w:type="pct"/>
            <w:tcBorders>
              <w:top w:val="single" w:sz="4" w:space="0" w:color="auto"/>
              <w:left w:val="single" w:sz="4" w:space="0" w:color="auto"/>
              <w:bottom w:val="single" w:sz="4" w:space="0" w:color="auto"/>
              <w:right w:val="single" w:sz="4" w:space="0" w:color="auto"/>
            </w:tcBorders>
          </w:tcPr>
          <w:p w14:paraId="6898DCFB" w14:textId="77777777" w:rsidR="00912BDF" w:rsidRPr="00A913BF" w:rsidRDefault="00912BDF" w:rsidP="00922A4E">
            <w:pPr>
              <w:rPr>
                <w:szCs w:val="22"/>
              </w:rPr>
            </w:pPr>
            <w:r w:rsidRPr="00A913BF">
              <w:rPr>
                <w:szCs w:val="22"/>
              </w:rPr>
              <w:t>hiponatremija</w:t>
            </w:r>
          </w:p>
        </w:tc>
      </w:tr>
      <w:tr w:rsidR="00912BDF" w:rsidRPr="00A913BF" w14:paraId="23900380" w14:textId="77777777" w:rsidTr="00922A4E">
        <w:tc>
          <w:tcPr>
            <w:tcW w:w="1915" w:type="pct"/>
            <w:tcBorders>
              <w:top w:val="single" w:sz="4" w:space="0" w:color="auto"/>
              <w:left w:val="single" w:sz="4" w:space="0" w:color="auto"/>
              <w:bottom w:val="single" w:sz="4" w:space="0" w:color="auto"/>
              <w:right w:val="single" w:sz="4" w:space="0" w:color="auto"/>
            </w:tcBorders>
          </w:tcPr>
          <w:p w14:paraId="1BB6A9BD" w14:textId="77777777" w:rsidR="00912BDF" w:rsidRPr="00A913BF" w:rsidRDefault="00912BDF" w:rsidP="00922A4E">
            <w:pPr>
              <w:rPr>
                <w:szCs w:val="22"/>
              </w:rPr>
            </w:pPr>
            <w:r w:rsidRPr="00A913BF">
              <w:rPr>
                <w:szCs w:val="22"/>
              </w:rPr>
              <w:t>Nervų sistemos sutrikimai</w:t>
            </w:r>
          </w:p>
        </w:tc>
        <w:tc>
          <w:tcPr>
            <w:tcW w:w="851" w:type="pct"/>
            <w:tcBorders>
              <w:top w:val="single" w:sz="4" w:space="0" w:color="auto"/>
              <w:left w:val="single" w:sz="4" w:space="0" w:color="auto"/>
              <w:bottom w:val="single" w:sz="4" w:space="0" w:color="auto"/>
              <w:right w:val="single" w:sz="4" w:space="0" w:color="auto"/>
            </w:tcBorders>
          </w:tcPr>
          <w:p w14:paraId="499A7134" w14:textId="77777777" w:rsidR="00912BDF" w:rsidRPr="00A913BF" w:rsidRDefault="00912BDF" w:rsidP="00922A4E">
            <w:pPr>
              <w:rPr>
                <w:szCs w:val="22"/>
              </w:rPr>
            </w:pPr>
            <w:r w:rsidRPr="00A913BF">
              <w:rPr>
                <w:szCs w:val="22"/>
              </w:rPr>
              <w:t>labai reta</w:t>
            </w:r>
            <w:r>
              <w:rPr>
                <w:szCs w:val="22"/>
              </w:rPr>
              <w:t>s</w:t>
            </w:r>
          </w:p>
        </w:tc>
        <w:tc>
          <w:tcPr>
            <w:tcW w:w="2234" w:type="pct"/>
            <w:tcBorders>
              <w:top w:val="single" w:sz="4" w:space="0" w:color="auto"/>
              <w:left w:val="single" w:sz="4" w:space="0" w:color="auto"/>
              <w:bottom w:val="single" w:sz="4" w:space="0" w:color="auto"/>
              <w:right w:val="single" w:sz="4" w:space="0" w:color="auto"/>
            </w:tcBorders>
          </w:tcPr>
          <w:p w14:paraId="44F5C4E9" w14:textId="77777777" w:rsidR="00912BDF" w:rsidRPr="00A913BF" w:rsidRDefault="00912BDF" w:rsidP="00922A4E">
            <w:pPr>
              <w:rPr>
                <w:szCs w:val="22"/>
              </w:rPr>
            </w:pPr>
            <w:r w:rsidRPr="00A913BF">
              <w:rPr>
                <w:szCs w:val="22"/>
              </w:rPr>
              <w:t>svaigulys, galvos skausmas</w:t>
            </w:r>
          </w:p>
        </w:tc>
      </w:tr>
      <w:tr w:rsidR="00912BDF" w:rsidRPr="00A913BF" w14:paraId="51B3BB2C" w14:textId="77777777" w:rsidTr="00922A4E">
        <w:tc>
          <w:tcPr>
            <w:tcW w:w="1915" w:type="pct"/>
            <w:tcBorders>
              <w:top w:val="single" w:sz="4" w:space="0" w:color="auto"/>
              <w:left w:val="single" w:sz="4" w:space="0" w:color="auto"/>
              <w:bottom w:val="single" w:sz="4" w:space="0" w:color="auto"/>
              <w:right w:val="single" w:sz="4" w:space="0" w:color="auto"/>
            </w:tcBorders>
          </w:tcPr>
          <w:p w14:paraId="66E30BB5" w14:textId="77777777" w:rsidR="00912BDF" w:rsidRPr="00A913BF" w:rsidRDefault="00912BDF" w:rsidP="00922A4E">
            <w:pPr>
              <w:rPr>
                <w:szCs w:val="22"/>
              </w:rPr>
            </w:pPr>
            <w:r w:rsidRPr="00A913BF">
              <w:rPr>
                <w:szCs w:val="22"/>
              </w:rPr>
              <w:t>Kvėpavimo sistemos, krūtinės ląstos ir tarpuplaučio sutrikimai</w:t>
            </w:r>
          </w:p>
        </w:tc>
        <w:tc>
          <w:tcPr>
            <w:tcW w:w="851" w:type="pct"/>
            <w:tcBorders>
              <w:top w:val="single" w:sz="4" w:space="0" w:color="auto"/>
              <w:left w:val="single" w:sz="4" w:space="0" w:color="auto"/>
              <w:bottom w:val="single" w:sz="4" w:space="0" w:color="auto"/>
              <w:right w:val="single" w:sz="4" w:space="0" w:color="auto"/>
            </w:tcBorders>
          </w:tcPr>
          <w:p w14:paraId="2F450029" w14:textId="77777777" w:rsidR="00912BDF" w:rsidRPr="00A913BF" w:rsidRDefault="00912BDF" w:rsidP="00922A4E">
            <w:pPr>
              <w:rPr>
                <w:szCs w:val="22"/>
              </w:rPr>
            </w:pPr>
            <w:r w:rsidRPr="00A913BF">
              <w:rPr>
                <w:szCs w:val="22"/>
              </w:rPr>
              <w:t>labai reta</w:t>
            </w:r>
            <w:r>
              <w:rPr>
                <w:szCs w:val="22"/>
              </w:rPr>
              <w:t>s</w:t>
            </w:r>
          </w:p>
        </w:tc>
        <w:tc>
          <w:tcPr>
            <w:tcW w:w="2234" w:type="pct"/>
            <w:tcBorders>
              <w:top w:val="single" w:sz="4" w:space="0" w:color="auto"/>
              <w:left w:val="single" w:sz="4" w:space="0" w:color="auto"/>
              <w:bottom w:val="single" w:sz="4" w:space="0" w:color="auto"/>
              <w:right w:val="single" w:sz="4" w:space="0" w:color="auto"/>
            </w:tcBorders>
          </w:tcPr>
          <w:p w14:paraId="052403D5" w14:textId="77777777" w:rsidR="00912BDF" w:rsidRPr="00A913BF" w:rsidRDefault="00912BDF" w:rsidP="00922A4E">
            <w:pPr>
              <w:rPr>
                <w:szCs w:val="22"/>
              </w:rPr>
            </w:pPr>
            <w:r w:rsidRPr="00A913BF">
              <w:rPr>
                <w:szCs w:val="22"/>
              </w:rPr>
              <w:t>kosulys</w:t>
            </w:r>
          </w:p>
        </w:tc>
      </w:tr>
      <w:tr w:rsidR="00912BDF" w:rsidRPr="00A913BF" w14:paraId="29B29EB1" w14:textId="77777777" w:rsidTr="00922A4E">
        <w:tc>
          <w:tcPr>
            <w:tcW w:w="1915" w:type="pct"/>
            <w:tcBorders>
              <w:top w:val="single" w:sz="4" w:space="0" w:color="auto"/>
              <w:left w:val="single" w:sz="4" w:space="0" w:color="auto"/>
              <w:bottom w:val="single" w:sz="4" w:space="0" w:color="auto"/>
              <w:right w:val="single" w:sz="4" w:space="0" w:color="auto"/>
            </w:tcBorders>
          </w:tcPr>
          <w:p w14:paraId="77207B0C" w14:textId="77777777" w:rsidR="00912BDF" w:rsidRPr="00A913BF" w:rsidRDefault="00912BDF" w:rsidP="00922A4E">
            <w:pPr>
              <w:rPr>
                <w:szCs w:val="22"/>
              </w:rPr>
            </w:pPr>
            <w:r w:rsidRPr="00A913BF">
              <w:rPr>
                <w:szCs w:val="22"/>
              </w:rPr>
              <w:t>Kraujagyslių sutrikimai</w:t>
            </w:r>
          </w:p>
        </w:tc>
        <w:tc>
          <w:tcPr>
            <w:tcW w:w="851" w:type="pct"/>
            <w:tcBorders>
              <w:top w:val="single" w:sz="4" w:space="0" w:color="auto"/>
              <w:left w:val="single" w:sz="4" w:space="0" w:color="auto"/>
              <w:bottom w:val="single" w:sz="4" w:space="0" w:color="auto"/>
              <w:right w:val="single" w:sz="4" w:space="0" w:color="auto"/>
            </w:tcBorders>
          </w:tcPr>
          <w:p w14:paraId="341D6310" w14:textId="77777777" w:rsidR="00912BDF" w:rsidRPr="00A913BF" w:rsidRDefault="00912BDF" w:rsidP="00922A4E">
            <w:pPr>
              <w:rPr>
                <w:szCs w:val="22"/>
              </w:rPr>
            </w:pPr>
            <w:r w:rsidRPr="00A913BF">
              <w:rPr>
                <w:szCs w:val="22"/>
              </w:rPr>
              <w:t>dažna</w:t>
            </w:r>
            <w:r>
              <w:rPr>
                <w:szCs w:val="22"/>
              </w:rPr>
              <w:t>s</w:t>
            </w:r>
          </w:p>
        </w:tc>
        <w:tc>
          <w:tcPr>
            <w:tcW w:w="2234" w:type="pct"/>
            <w:tcBorders>
              <w:top w:val="single" w:sz="4" w:space="0" w:color="auto"/>
              <w:left w:val="single" w:sz="4" w:space="0" w:color="auto"/>
              <w:bottom w:val="single" w:sz="4" w:space="0" w:color="auto"/>
              <w:right w:val="single" w:sz="4" w:space="0" w:color="auto"/>
            </w:tcBorders>
          </w:tcPr>
          <w:p w14:paraId="666E1F46" w14:textId="77777777" w:rsidR="00912BDF" w:rsidRPr="00A913BF" w:rsidRDefault="00912BDF" w:rsidP="00922A4E">
            <w:pPr>
              <w:rPr>
                <w:szCs w:val="22"/>
              </w:rPr>
            </w:pPr>
            <w:r w:rsidRPr="00A913BF">
              <w:rPr>
                <w:szCs w:val="22"/>
              </w:rPr>
              <w:t>hipotenzija</w:t>
            </w:r>
          </w:p>
        </w:tc>
      </w:tr>
      <w:tr w:rsidR="003D6F3D" w:rsidRPr="00A913BF" w14:paraId="7167A6CC" w14:textId="77777777" w:rsidTr="00922A4E">
        <w:tc>
          <w:tcPr>
            <w:tcW w:w="1915" w:type="pct"/>
            <w:vMerge w:val="restart"/>
            <w:tcBorders>
              <w:top w:val="single" w:sz="4" w:space="0" w:color="auto"/>
              <w:left w:val="single" w:sz="4" w:space="0" w:color="auto"/>
              <w:right w:val="single" w:sz="4" w:space="0" w:color="auto"/>
            </w:tcBorders>
          </w:tcPr>
          <w:p w14:paraId="447EB31C" w14:textId="77777777" w:rsidR="003D6F3D" w:rsidRPr="00A913BF" w:rsidRDefault="003D6F3D" w:rsidP="00922A4E">
            <w:pPr>
              <w:rPr>
                <w:szCs w:val="22"/>
              </w:rPr>
            </w:pPr>
            <w:r w:rsidRPr="00A913BF">
              <w:rPr>
                <w:szCs w:val="22"/>
              </w:rPr>
              <w:lastRenderedPageBreak/>
              <w:t>Virškinimo trakto sutrikimai</w:t>
            </w:r>
          </w:p>
        </w:tc>
        <w:tc>
          <w:tcPr>
            <w:tcW w:w="851" w:type="pct"/>
            <w:tcBorders>
              <w:top w:val="single" w:sz="4" w:space="0" w:color="auto"/>
              <w:left w:val="single" w:sz="4" w:space="0" w:color="auto"/>
              <w:bottom w:val="single" w:sz="4" w:space="0" w:color="auto"/>
              <w:right w:val="single" w:sz="4" w:space="0" w:color="auto"/>
            </w:tcBorders>
          </w:tcPr>
          <w:p w14:paraId="4BAA0599" w14:textId="77777777" w:rsidR="003D6F3D" w:rsidRPr="00A913BF" w:rsidRDefault="003D6F3D" w:rsidP="00922A4E">
            <w:pPr>
              <w:rPr>
                <w:szCs w:val="22"/>
              </w:rPr>
            </w:pPr>
            <w:r w:rsidRPr="00A913BF">
              <w:rPr>
                <w:szCs w:val="22"/>
              </w:rPr>
              <w:t>labai reta</w:t>
            </w:r>
            <w:r>
              <w:rPr>
                <w:szCs w:val="22"/>
              </w:rPr>
              <w:t>s</w:t>
            </w:r>
            <w:r w:rsidRPr="00A913BF">
              <w:rPr>
                <w:szCs w:val="22"/>
              </w:rPr>
              <w:t xml:space="preserve"> </w:t>
            </w:r>
          </w:p>
        </w:tc>
        <w:tc>
          <w:tcPr>
            <w:tcW w:w="2234" w:type="pct"/>
            <w:tcBorders>
              <w:top w:val="single" w:sz="4" w:space="0" w:color="auto"/>
              <w:left w:val="single" w:sz="4" w:space="0" w:color="auto"/>
              <w:bottom w:val="single" w:sz="4" w:space="0" w:color="auto"/>
              <w:right w:val="single" w:sz="4" w:space="0" w:color="auto"/>
            </w:tcBorders>
          </w:tcPr>
          <w:p w14:paraId="54A5A2E9" w14:textId="77777777" w:rsidR="003D6F3D" w:rsidRPr="00A913BF" w:rsidRDefault="003D6F3D" w:rsidP="00922A4E">
            <w:pPr>
              <w:rPr>
                <w:szCs w:val="22"/>
              </w:rPr>
            </w:pPr>
            <w:r w:rsidRPr="00A913BF">
              <w:rPr>
                <w:szCs w:val="22"/>
              </w:rPr>
              <w:t>pykinimas</w:t>
            </w:r>
          </w:p>
        </w:tc>
      </w:tr>
      <w:tr w:rsidR="003D6F3D" w:rsidRPr="00A913BF" w14:paraId="623461C8" w14:textId="77777777" w:rsidTr="00922A4E">
        <w:tc>
          <w:tcPr>
            <w:tcW w:w="1915" w:type="pct"/>
            <w:vMerge/>
            <w:tcBorders>
              <w:left w:val="single" w:sz="4" w:space="0" w:color="auto"/>
              <w:bottom w:val="single" w:sz="4" w:space="0" w:color="auto"/>
              <w:right w:val="single" w:sz="4" w:space="0" w:color="auto"/>
            </w:tcBorders>
          </w:tcPr>
          <w:p w14:paraId="3076DE5D" w14:textId="77777777" w:rsidR="003D6F3D" w:rsidRPr="00A913BF" w:rsidRDefault="003D6F3D" w:rsidP="00922A4E">
            <w:pPr>
              <w:rPr>
                <w:szCs w:val="22"/>
              </w:rPr>
            </w:pPr>
          </w:p>
        </w:tc>
        <w:tc>
          <w:tcPr>
            <w:tcW w:w="851" w:type="pct"/>
            <w:tcBorders>
              <w:top w:val="single" w:sz="4" w:space="0" w:color="auto"/>
              <w:left w:val="single" w:sz="4" w:space="0" w:color="auto"/>
              <w:bottom w:val="single" w:sz="4" w:space="0" w:color="auto"/>
              <w:right w:val="single" w:sz="4" w:space="0" w:color="auto"/>
            </w:tcBorders>
          </w:tcPr>
          <w:p w14:paraId="5B3D722C" w14:textId="77777777" w:rsidR="003D6F3D" w:rsidRPr="00A913BF" w:rsidRDefault="003D6F3D" w:rsidP="00922A4E">
            <w:pPr>
              <w:rPr>
                <w:szCs w:val="22"/>
              </w:rPr>
            </w:pPr>
            <w:r>
              <w:rPr>
                <w:szCs w:val="22"/>
              </w:rPr>
              <w:t>dažnis nežinomas</w:t>
            </w:r>
          </w:p>
        </w:tc>
        <w:tc>
          <w:tcPr>
            <w:tcW w:w="2234" w:type="pct"/>
            <w:tcBorders>
              <w:top w:val="single" w:sz="4" w:space="0" w:color="auto"/>
              <w:left w:val="single" w:sz="4" w:space="0" w:color="auto"/>
              <w:bottom w:val="single" w:sz="4" w:space="0" w:color="auto"/>
              <w:right w:val="single" w:sz="4" w:space="0" w:color="auto"/>
            </w:tcBorders>
          </w:tcPr>
          <w:p w14:paraId="5F51DA66" w14:textId="77777777" w:rsidR="003D6F3D" w:rsidRPr="00A913BF" w:rsidRDefault="003D6F3D" w:rsidP="00922A4E">
            <w:pPr>
              <w:rPr>
                <w:szCs w:val="22"/>
              </w:rPr>
            </w:pPr>
            <w:r>
              <w:rPr>
                <w:szCs w:val="22"/>
              </w:rPr>
              <w:t>viduriavimas</w:t>
            </w:r>
          </w:p>
        </w:tc>
      </w:tr>
      <w:tr w:rsidR="00912BDF" w:rsidRPr="00A913BF" w14:paraId="5666741F" w14:textId="77777777" w:rsidTr="00922A4E">
        <w:tc>
          <w:tcPr>
            <w:tcW w:w="1915" w:type="pct"/>
            <w:tcBorders>
              <w:top w:val="single" w:sz="4" w:space="0" w:color="auto"/>
              <w:left w:val="single" w:sz="4" w:space="0" w:color="auto"/>
              <w:bottom w:val="single" w:sz="4" w:space="0" w:color="auto"/>
              <w:right w:val="single" w:sz="4" w:space="0" w:color="auto"/>
            </w:tcBorders>
          </w:tcPr>
          <w:p w14:paraId="0E98109F" w14:textId="77777777" w:rsidR="00912BDF" w:rsidRPr="00A913BF" w:rsidRDefault="00912BDF" w:rsidP="00922A4E">
            <w:pPr>
              <w:rPr>
                <w:szCs w:val="22"/>
              </w:rPr>
            </w:pPr>
            <w:r w:rsidRPr="00A913BF">
              <w:rPr>
                <w:szCs w:val="22"/>
              </w:rPr>
              <w:t>Kepenų, tulžies pūslės ir latakų sutrikimai</w:t>
            </w:r>
          </w:p>
        </w:tc>
        <w:tc>
          <w:tcPr>
            <w:tcW w:w="851" w:type="pct"/>
            <w:tcBorders>
              <w:top w:val="single" w:sz="4" w:space="0" w:color="auto"/>
              <w:left w:val="single" w:sz="4" w:space="0" w:color="auto"/>
              <w:bottom w:val="single" w:sz="4" w:space="0" w:color="auto"/>
              <w:right w:val="single" w:sz="4" w:space="0" w:color="auto"/>
            </w:tcBorders>
          </w:tcPr>
          <w:p w14:paraId="7AC26ADE" w14:textId="77777777" w:rsidR="00912BDF" w:rsidRPr="00A913BF" w:rsidRDefault="00912BDF" w:rsidP="00922A4E">
            <w:pPr>
              <w:rPr>
                <w:szCs w:val="22"/>
              </w:rPr>
            </w:pPr>
            <w:r w:rsidRPr="00A913BF">
              <w:rPr>
                <w:szCs w:val="22"/>
              </w:rPr>
              <w:t>labai reta</w:t>
            </w:r>
            <w:r>
              <w:rPr>
                <w:szCs w:val="22"/>
              </w:rPr>
              <w:t>s</w:t>
            </w:r>
            <w:r w:rsidRPr="00A913BF">
              <w:rPr>
                <w:szCs w:val="22"/>
              </w:rPr>
              <w:t xml:space="preserve"> </w:t>
            </w:r>
          </w:p>
        </w:tc>
        <w:tc>
          <w:tcPr>
            <w:tcW w:w="2234" w:type="pct"/>
            <w:tcBorders>
              <w:top w:val="single" w:sz="4" w:space="0" w:color="auto"/>
              <w:left w:val="single" w:sz="4" w:space="0" w:color="auto"/>
              <w:bottom w:val="single" w:sz="4" w:space="0" w:color="auto"/>
              <w:right w:val="single" w:sz="4" w:space="0" w:color="auto"/>
            </w:tcBorders>
          </w:tcPr>
          <w:p w14:paraId="0F8AAEF4" w14:textId="77777777" w:rsidR="00912BDF" w:rsidRPr="00A913BF" w:rsidRDefault="00912BDF" w:rsidP="00922A4E">
            <w:pPr>
              <w:rPr>
                <w:szCs w:val="22"/>
              </w:rPr>
            </w:pPr>
            <w:r w:rsidRPr="00A913BF">
              <w:rPr>
                <w:szCs w:val="22"/>
              </w:rPr>
              <w:t>padidėjęs kepenų fermentų aktyvumas, sutrikusi kepenų funkcija ar hepatitas</w:t>
            </w:r>
          </w:p>
        </w:tc>
      </w:tr>
      <w:tr w:rsidR="00912BDF" w:rsidRPr="00A913BF" w14:paraId="759CC5AB" w14:textId="77777777" w:rsidTr="00922A4E">
        <w:tc>
          <w:tcPr>
            <w:tcW w:w="1915" w:type="pct"/>
            <w:tcBorders>
              <w:top w:val="single" w:sz="4" w:space="0" w:color="auto"/>
              <w:left w:val="single" w:sz="4" w:space="0" w:color="auto"/>
              <w:bottom w:val="single" w:sz="4" w:space="0" w:color="auto"/>
              <w:right w:val="single" w:sz="4" w:space="0" w:color="auto"/>
            </w:tcBorders>
          </w:tcPr>
          <w:p w14:paraId="3381ACEB" w14:textId="77777777" w:rsidR="00912BDF" w:rsidRPr="00A913BF" w:rsidRDefault="00912BDF" w:rsidP="00922A4E">
            <w:pPr>
              <w:rPr>
                <w:szCs w:val="22"/>
              </w:rPr>
            </w:pPr>
            <w:r w:rsidRPr="00A913BF">
              <w:rPr>
                <w:szCs w:val="22"/>
              </w:rPr>
              <w:t>Odos ir poodinio audinio sutrikimai</w:t>
            </w:r>
          </w:p>
        </w:tc>
        <w:tc>
          <w:tcPr>
            <w:tcW w:w="851" w:type="pct"/>
            <w:tcBorders>
              <w:top w:val="single" w:sz="4" w:space="0" w:color="auto"/>
              <w:left w:val="single" w:sz="4" w:space="0" w:color="auto"/>
              <w:bottom w:val="single" w:sz="4" w:space="0" w:color="auto"/>
              <w:right w:val="single" w:sz="4" w:space="0" w:color="auto"/>
            </w:tcBorders>
          </w:tcPr>
          <w:p w14:paraId="10D37D2E" w14:textId="77777777" w:rsidR="00912BDF" w:rsidRPr="00A913BF" w:rsidRDefault="00912BDF" w:rsidP="00922A4E">
            <w:pPr>
              <w:rPr>
                <w:szCs w:val="22"/>
              </w:rPr>
            </w:pPr>
            <w:r w:rsidRPr="00A913BF">
              <w:rPr>
                <w:szCs w:val="22"/>
              </w:rPr>
              <w:t>labai reta</w:t>
            </w:r>
            <w:r>
              <w:rPr>
                <w:szCs w:val="22"/>
              </w:rPr>
              <w:t>s</w:t>
            </w:r>
            <w:r w:rsidRPr="00A913BF">
              <w:rPr>
                <w:szCs w:val="22"/>
              </w:rPr>
              <w:t xml:space="preserve"> </w:t>
            </w:r>
          </w:p>
        </w:tc>
        <w:tc>
          <w:tcPr>
            <w:tcW w:w="2234" w:type="pct"/>
            <w:tcBorders>
              <w:top w:val="single" w:sz="4" w:space="0" w:color="auto"/>
              <w:left w:val="single" w:sz="4" w:space="0" w:color="auto"/>
              <w:bottom w:val="single" w:sz="4" w:space="0" w:color="auto"/>
              <w:right w:val="single" w:sz="4" w:space="0" w:color="auto"/>
            </w:tcBorders>
          </w:tcPr>
          <w:p w14:paraId="1C75FDF8" w14:textId="77777777" w:rsidR="00912BDF" w:rsidRPr="00A913BF" w:rsidRDefault="00912BDF" w:rsidP="00922A4E">
            <w:pPr>
              <w:rPr>
                <w:szCs w:val="22"/>
              </w:rPr>
            </w:pPr>
            <w:r w:rsidRPr="00A913BF">
              <w:rPr>
                <w:szCs w:val="22"/>
              </w:rPr>
              <w:t>angioneurozinė edema, išbėrimas, dilgėlinė, niežėjimas</w:t>
            </w:r>
          </w:p>
        </w:tc>
      </w:tr>
      <w:tr w:rsidR="00912BDF" w:rsidRPr="00A913BF" w14:paraId="1179E540" w14:textId="77777777" w:rsidTr="00922A4E">
        <w:tc>
          <w:tcPr>
            <w:tcW w:w="1915" w:type="pct"/>
            <w:tcBorders>
              <w:top w:val="single" w:sz="4" w:space="0" w:color="auto"/>
              <w:left w:val="single" w:sz="4" w:space="0" w:color="auto"/>
              <w:bottom w:val="single" w:sz="4" w:space="0" w:color="auto"/>
              <w:right w:val="single" w:sz="4" w:space="0" w:color="auto"/>
            </w:tcBorders>
          </w:tcPr>
          <w:p w14:paraId="1A582244" w14:textId="77777777" w:rsidR="00912BDF" w:rsidRPr="00A913BF" w:rsidRDefault="00912BDF" w:rsidP="00922A4E">
            <w:pPr>
              <w:rPr>
                <w:szCs w:val="22"/>
              </w:rPr>
            </w:pPr>
            <w:r w:rsidRPr="00A913BF">
              <w:rPr>
                <w:szCs w:val="22"/>
              </w:rPr>
              <w:t>Skeleto, raumenų ir jungiamojo audinio sutrikimai</w:t>
            </w:r>
          </w:p>
        </w:tc>
        <w:tc>
          <w:tcPr>
            <w:tcW w:w="851" w:type="pct"/>
            <w:tcBorders>
              <w:top w:val="single" w:sz="4" w:space="0" w:color="auto"/>
              <w:left w:val="single" w:sz="4" w:space="0" w:color="auto"/>
              <w:bottom w:val="single" w:sz="4" w:space="0" w:color="auto"/>
              <w:right w:val="single" w:sz="4" w:space="0" w:color="auto"/>
            </w:tcBorders>
          </w:tcPr>
          <w:p w14:paraId="422748F8" w14:textId="77777777" w:rsidR="00912BDF" w:rsidRPr="00A913BF" w:rsidRDefault="00912BDF" w:rsidP="00922A4E">
            <w:pPr>
              <w:rPr>
                <w:szCs w:val="22"/>
              </w:rPr>
            </w:pPr>
            <w:r w:rsidRPr="00A913BF">
              <w:rPr>
                <w:szCs w:val="22"/>
              </w:rPr>
              <w:t>labai reta</w:t>
            </w:r>
            <w:r>
              <w:rPr>
                <w:szCs w:val="22"/>
              </w:rPr>
              <w:t>s</w:t>
            </w:r>
            <w:r w:rsidRPr="00A913BF">
              <w:rPr>
                <w:szCs w:val="22"/>
              </w:rPr>
              <w:t xml:space="preserve"> </w:t>
            </w:r>
          </w:p>
        </w:tc>
        <w:tc>
          <w:tcPr>
            <w:tcW w:w="2234" w:type="pct"/>
            <w:tcBorders>
              <w:top w:val="single" w:sz="4" w:space="0" w:color="auto"/>
              <w:left w:val="single" w:sz="4" w:space="0" w:color="auto"/>
              <w:bottom w:val="single" w:sz="4" w:space="0" w:color="auto"/>
              <w:right w:val="single" w:sz="4" w:space="0" w:color="auto"/>
            </w:tcBorders>
          </w:tcPr>
          <w:p w14:paraId="782729C2" w14:textId="77777777" w:rsidR="00912BDF" w:rsidRPr="00A913BF" w:rsidRDefault="00912BDF" w:rsidP="00922A4E">
            <w:pPr>
              <w:rPr>
                <w:szCs w:val="22"/>
              </w:rPr>
            </w:pPr>
            <w:r w:rsidRPr="00A913BF">
              <w:rPr>
                <w:szCs w:val="22"/>
              </w:rPr>
              <w:t>nugaros skausmas, artralgija, mialgija</w:t>
            </w:r>
          </w:p>
        </w:tc>
      </w:tr>
      <w:tr w:rsidR="00912BDF" w:rsidRPr="00A913BF" w14:paraId="390BE12F" w14:textId="77777777" w:rsidTr="00922A4E">
        <w:tc>
          <w:tcPr>
            <w:tcW w:w="1915" w:type="pct"/>
            <w:tcBorders>
              <w:top w:val="single" w:sz="4" w:space="0" w:color="auto"/>
              <w:left w:val="single" w:sz="4" w:space="0" w:color="auto"/>
              <w:bottom w:val="single" w:sz="4" w:space="0" w:color="auto"/>
              <w:right w:val="single" w:sz="4" w:space="0" w:color="auto"/>
            </w:tcBorders>
          </w:tcPr>
          <w:p w14:paraId="0C5C7FC6" w14:textId="77777777" w:rsidR="00912BDF" w:rsidRPr="00A913BF" w:rsidRDefault="00912BDF" w:rsidP="00922A4E">
            <w:pPr>
              <w:rPr>
                <w:szCs w:val="22"/>
              </w:rPr>
            </w:pPr>
            <w:r w:rsidRPr="00A913BF">
              <w:rPr>
                <w:szCs w:val="22"/>
              </w:rPr>
              <w:t>Inkstų ir šlapimo takų sutrikimai</w:t>
            </w:r>
          </w:p>
        </w:tc>
        <w:tc>
          <w:tcPr>
            <w:tcW w:w="851" w:type="pct"/>
            <w:tcBorders>
              <w:top w:val="single" w:sz="4" w:space="0" w:color="auto"/>
              <w:left w:val="single" w:sz="4" w:space="0" w:color="auto"/>
              <w:bottom w:val="single" w:sz="4" w:space="0" w:color="auto"/>
              <w:right w:val="single" w:sz="4" w:space="0" w:color="auto"/>
            </w:tcBorders>
          </w:tcPr>
          <w:p w14:paraId="539E9942" w14:textId="77777777" w:rsidR="00912BDF" w:rsidRPr="00A913BF" w:rsidRDefault="00912BDF" w:rsidP="00922A4E">
            <w:pPr>
              <w:rPr>
                <w:szCs w:val="22"/>
              </w:rPr>
            </w:pPr>
            <w:r w:rsidRPr="00A913BF">
              <w:rPr>
                <w:szCs w:val="22"/>
              </w:rPr>
              <w:t>dažna</w:t>
            </w:r>
            <w:r>
              <w:rPr>
                <w:szCs w:val="22"/>
              </w:rPr>
              <w:t>s</w:t>
            </w:r>
            <w:r w:rsidRPr="00A913BF">
              <w:rPr>
                <w:szCs w:val="22"/>
              </w:rPr>
              <w:t xml:space="preserve"> </w:t>
            </w:r>
          </w:p>
        </w:tc>
        <w:tc>
          <w:tcPr>
            <w:tcW w:w="2234" w:type="pct"/>
            <w:tcBorders>
              <w:top w:val="single" w:sz="4" w:space="0" w:color="auto"/>
              <w:left w:val="single" w:sz="4" w:space="0" w:color="auto"/>
              <w:bottom w:val="single" w:sz="4" w:space="0" w:color="auto"/>
              <w:right w:val="single" w:sz="4" w:space="0" w:color="auto"/>
            </w:tcBorders>
          </w:tcPr>
          <w:p w14:paraId="066A5A03" w14:textId="77777777" w:rsidR="00912BDF" w:rsidRPr="00A913BF" w:rsidRDefault="00912BDF" w:rsidP="00922A4E">
            <w:pPr>
              <w:rPr>
                <w:szCs w:val="22"/>
              </w:rPr>
            </w:pPr>
            <w:r w:rsidRPr="00A913BF">
              <w:rPr>
                <w:szCs w:val="22"/>
              </w:rPr>
              <w:t>sutrikusi inkstų funkcija, įskaitant sutrikimui jautrių pacientų inkstų nepakankamumą (žr. 4.4 skyrių)</w:t>
            </w:r>
          </w:p>
        </w:tc>
      </w:tr>
    </w:tbl>
    <w:p w14:paraId="17CA957A" w14:textId="77777777" w:rsidR="00912BDF" w:rsidRPr="00A913BF" w:rsidRDefault="00912BDF" w:rsidP="00912BDF">
      <w:pPr>
        <w:ind w:left="567" w:hanging="567"/>
        <w:rPr>
          <w:b/>
          <w:szCs w:val="22"/>
        </w:rPr>
      </w:pPr>
    </w:p>
    <w:p w14:paraId="51D53526" w14:textId="77777777" w:rsidR="00912BDF" w:rsidRPr="00A913BF" w:rsidRDefault="00912BDF" w:rsidP="00912BDF">
      <w:pPr>
        <w:rPr>
          <w:i/>
          <w:iCs/>
          <w:szCs w:val="22"/>
          <w:u w:val="single"/>
        </w:rPr>
      </w:pPr>
      <w:r w:rsidRPr="00A913BF">
        <w:rPr>
          <w:i/>
          <w:szCs w:val="22"/>
          <w:u w:val="single"/>
        </w:rPr>
        <w:t>Laboratorinių tyrimų duomenys</w:t>
      </w:r>
    </w:p>
    <w:p w14:paraId="7B64C5BF" w14:textId="77777777" w:rsidR="00912BDF" w:rsidRPr="00A913BF" w:rsidRDefault="00912BDF" w:rsidP="00912BDF">
      <w:pPr>
        <w:rPr>
          <w:szCs w:val="22"/>
        </w:rPr>
      </w:pPr>
      <w:r w:rsidRPr="00A913BF">
        <w:rPr>
          <w:szCs w:val="22"/>
        </w:rPr>
        <w:t>Širdies nepakankamumui gydyti Atacand vartojantiems pacientams dažnai pasireiškia hiperkalemija ir inkstų nepakankamumas. Rekomenduojama periodiškai tirti kreatinino ir kalio koncentraciją serume (žr. 4.4 skyrių).</w:t>
      </w:r>
    </w:p>
    <w:p w14:paraId="64033382" w14:textId="77777777" w:rsidR="00912BDF" w:rsidRPr="00A913BF" w:rsidRDefault="00912BDF" w:rsidP="00912BDF">
      <w:pPr>
        <w:ind w:left="567" w:hanging="567"/>
        <w:rPr>
          <w:szCs w:val="22"/>
        </w:rPr>
      </w:pPr>
    </w:p>
    <w:p w14:paraId="69DBFDA2" w14:textId="77777777" w:rsidR="00912BDF" w:rsidRPr="00A913BF" w:rsidRDefault="00912BDF" w:rsidP="00912BDF">
      <w:pPr>
        <w:autoSpaceDE w:val="0"/>
        <w:autoSpaceDN w:val="0"/>
        <w:adjustRightInd w:val="0"/>
        <w:jc w:val="both"/>
        <w:rPr>
          <w:szCs w:val="22"/>
          <w:u w:val="single"/>
        </w:rPr>
      </w:pPr>
      <w:r w:rsidRPr="00A913BF">
        <w:rPr>
          <w:szCs w:val="22"/>
          <w:u w:val="single"/>
        </w:rPr>
        <w:t>Pranešimas apie įtariamas nepageidaujamas reakcijas</w:t>
      </w:r>
    </w:p>
    <w:p w14:paraId="379E0FE9" w14:textId="77777777" w:rsidR="00912BDF" w:rsidRPr="00A913BF" w:rsidRDefault="00912BDF" w:rsidP="00912BDF">
      <w:pPr>
        <w:autoSpaceDE w:val="0"/>
        <w:autoSpaceDN w:val="0"/>
        <w:adjustRightInd w:val="0"/>
        <w:rPr>
          <w:szCs w:val="22"/>
        </w:rPr>
      </w:pPr>
      <w:r w:rsidRPr="009842F7">
        <w:rPr>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45D5323D" w14:textId="77777777" w:rsidR="00912BDF" w:rsidRPr="00A913BF" w:rsidRDefault="00912BDF" w:rsidP="00912BDF">
      <w:pPr>
        <w:ind w:left="567" w:hanging="567"/>
        <w:rPr>
          <w:szCs w:val="22"/>
        </w:rPr>
      </w:pPr>
    </w:p>
    <w:p w14:paraId="1EF52AC6" w14:textId="77777777" w:rsidR="00912BDF" w:rsidRPr="00A913BF" w:rsidRDefault="00912BDF" w:rsidP="00912BDF">
      <w:pPr>
        <w:ind w:left="567" w:hanging="567"/>
        <w:rPr>
          <w:b/>
          <w:szCs w:val="22"/>
        </w:rPr>
      </w:pPr>
      <w:r w:rsidRPr="00A913BF">
        <w:rPr>
          <w:b/>
          <w:szCs w:val="22"/>
        </w:rPr>
        <w:t>4.9</w:t>
      </w:r>
      <w:r w:rsidRPr="00A913BF">
        <w:rPr>
          <w:b/>
          <w:szCs w:val="22"/>
        </w:rPr>
        <w:tab/>
        <w:t>Perdozavimas</w:t>
      </w:r>
    </w:p>
    <w:p w14:paraId="3E76B4E3" w14:textId="77777777" w:rsidR="00912BDF" w:rsidRPr="00A913BF" w:rsidRDefault="00912BDF" w:rsidP="00912BDF">
      <w:pPr>
        <w:ind w:left="567" w:hanging="567"/>
        <w:rPr>
          <w:szCs w:val="22"/>
        </w:rPr>
      </w:pPr>
    </w:p>
    <w:p w14:paraId="6B0642D3" w14:textId="77777777" w:rsidR="00912BDF" w:rsidRPr="00A913BF" w:rsidRDefault="00912BDF" w:rsidP="00912BDF">
      <w:pPr>
        <w:rPr>
          <w:iCs/>
          <w:szCs w:val="22"/>
          <w:u w:val="single"/>
        </w:rPr>
      </w:pPr>
      <w:r w:rsidRPr="00A913BF">
        <w:rPr>
          <w:iCs/>
          <w:szCs w:val="22"/>
          <w:u w:val="single"/>
        </w:rPr>
        <w:t>Simptomai</w:t>
      </w:r>
    </w:p>
    <w:p w14:paraId="6A3E9B1A" w14:textId="77777777" w:rsidR="00912BDF" w:rsidRPr="00A913BF" w:rsidRDefault="00912BDF" w:rsidP="00912BDF">
      <w:pPr>
        <w:rPr>
          <w:szCs w:val="22"/>
        </w:rPr>
      </w:pPr>
      <w:r w:rsidRPr="00A913BF">
        <w:rPr>
          <w:szCs w:val="22"/>
        </w:rPr>
        <w:t>Atsižvelgiant į šio vaistinio preparato farmakologinį veikimą manoma, kad svarbiausieji perdozavimo sukeliami reiškiniai turėtų būti simptominė hipotenzija ir galvos sukimasis. Pavieniais aprašytais perdozavimo atvejais iki 672 mg kandesartano cileksetilo išgėrę suaugę pacientai pasveiko be komplikacijų.</w:t>
      </w:r>
    </w:p>
    <w:p w14:paraId="7ED1176C" w14:textId="77777777" w:rsidR="00912BDF" w:rsidRPr="00A913BF" w:rsidRDefault="00912BDF" w:rsidP="00912BDF">
      <w:pPr>
        <w:rPr>
          <w:szCs w:val="22"/>
        </w:rPr>
      </w:pPr>
    </w:p>
    <w:p w14:paraId="367C886A" w14:textId="77777777" w:rsidR="00912BDF" w:rsidRPr="00A913BF" w:rsidRDefault="00912BDF" w:rsidP="00912BDF">
      <w:pPr>
        <w:rPr>
          <w:iCs/>
          <w:szCs w:val="22"/>
          <w:u w:val="single"/>
        </w:rPr>
      </w:pPr>
      <w:r w:rsidRPr="00A913BF">
        <w:rPr>
          <w:iCs/>
          <w:szCs w:val="22"/>
          <w:u w:val="single"/>
        </w:rPr>
        <w:t>Gydymas</w:t>
      </w:r>
    </w:p>
    <w:p w14:paraId="628A1FD9" w14:textId="77777777" w:rsidR="00912BDF" w:rsidRPr="00A913BF" w:rsidRDefault="00912BDF" w:rsidP="00912BDF">
      <w:pPr>
        <w:rPr>
          <w:szCs w:val="22"/>
        </w:rPr>
      </w:pPr>
      <w:r w:rsidRPr="00A913BF">
        <w:rPr>
          <w:szCs w:val="22"/>
        </w:rPr>
        <w:t>Pasireiškus simptominei hipotenzijai, reikia gydyti simptominėmis priemonėmis ir stebėti gyvybės požymius. Būtina paguldyti pacientą ir pakelti jo kojas, jei to nepakanka – didinti plazmos tūrį infuzuojant, pvz., izotoninio natrio chlorido tirpalo, jeigu ir to nepakanka – galima skirti simpatikomimetikų.</w:t>
      </w:r>
    </w:p>
    <w:p w14:paraId="67F4C3C3" w14:textId="77777777" w:rsidR="00912BDF" w:rsidRPr="00A913BF" w:rsidRDefault="00912BDF" w:rsidP="00912BDF">
      <w:pPr>
        <w:rPr>
          <w:szCs w:val="22"/>
        </w:rPr>
      </w:pPr>
    </w:p>
    <w:p w14:paraId="3406FA50" w14:textId="77777777" w:rsidR="00912BDF" w:rsidRPr="00A913BF" w:rsidRDefault="00912BDF" w:rsidP="00912BDF">
      <w:pPr>
        <w:rPr>
          <w:szCs w:val="22"/>
        </w:rPr>
      </w:pPr>
      <w:r w:rsidRPr="00A913BF">
        <w:rPr>
          <w:szCs w:val="22"/>
        </w:rPr>
        <w:t>Hemodializuojant kandesartanas nepašalinamas.</w:t>
      </w:r>
    </w:p>
    <w:p w14:paraId="0ABDAD2D" w14:textId="77777777" w:rsidR="00912BDF" w:rsidRPr="00A913BF" w:rsidRDefault="00912BDF" w:rsidP="00912BDF">
      <w:pPr>
        <w:ind w:left="567" w:hanging="567"/>
        <w:rPr>
          <w:szCs w:val="22"/>
        </w:rPr>
      </w:pPr>
    </w:p>
    <w:p w14:paraId="29A95038" w14:textId="77777777" w:rsidR="00912BDF" w:rsidRPr="00A913BF" w:rsidRDefault="00912BDF" w:rsidP="00912BDF">
      <w:pPr>
        <w:ind w:left="567" w:hanging="567"/>
        <w:rPr>
          <w:szCs w:val="22"/>
        </w:rPr>
      </w:pPr>
    </w:p>
    <w:p w14:paraId="5F774903" w14:textId="77777777" w:rsidR="00912BDF" w:rsidRPr="00A913BF" w:rsidRDefault="00912BDF" w:rsidP="00912BDF">
      <w:pPr>
        <w:ind w:left="567" w:hanging="567"/>
        <w:rPr>
          <w:b/>
          <w:caps/>
          <w:szCs w:val="22"/>
        </w:rPr>
      </w:pPr>
      <w:r w:rsidRPr="00A913BF">
        <w:rPr>
          <w:b/>
          <w:caps/>
          <w:szCs w:val="22"/>
        </w:rPr>
        <w:t>5.</w:t>
      </w:r>
      <w:r w:rsidRPr="00A913BF">
        <w:rPr>
          <w:b/>
          <w:caps/>
          <w:szCs w:val="22"/>
        </w:rPr>
        <w:tab/>
      </w:r>
      <w:r w:rsidRPr="00A913BF">
        <w:rPr>
          <w:b/>
          <w:szCs w:val="22"/>
        </w:rPr>
        <w:t xml:space="preserve">FARMAKOLOGINĖS </w:t>
      </w:r>
      <w:r w:rsidRPr="00A913BF">
        <w:rPr>
          <w:b/>
          <w:caps/>
          <w:szCs w:val="22"/>
        </w:rPr>
        <w:t>savybės</w:t>
      </w:r>
    </w:p>
    <w:p w14:paraId="7E38DBAB" w14:textId="77777777" w:rsidR="00912BDF" w:rsidRPr="00A913BF" w:rsidRDefault="00912BDF" w:rsidP="00912BDF">
      <w:pPr>
        <w:ind w:left="567" w:hanging="567"/>
        <w:rPr>
          <w:szCs w:val="22"/>
        </w:rPr>
      </w:pPr>
    </w:p>
    <w:p w14:paraId="66501852" w14:textId="77777777" w:rsidR="00912BDF" w:rsidRPr="00A913BF" w:rsidRDefault="00912BDF" w:rsidP="00912BDF">
      <w:pPr>
        <w:ind w:left="567" w:hanging="567"/>
        <w:rPr>
          <w:b/>
          <w:szCs w:val="22"/>
        </w:rPr>
      </w:pPr>
      <w:r w:rsidRPr="00A913BF">
        <w:rPr>
          <w:b/>
          <w:szCs w:val="22"/>
        </w:rPr>
        <w:t>5.1</w:t>
      </w:r>
      <w:r w:rsidRPr="00A913BF">
        <w:rPr>
          <w:b/>
          <w:szCs w:val="22"/>
        </w:rPr>
        <w:tab/>
        <w:t xml:space="preserve">Farmakodinaminės savybės </w:t>
      </w:r>
    </w:p>
    <w:p w14:paraId="29C1DC87" w14:textId="77777777" w:rsidR="00912BDF" w:rsidRPr="00A913BF" w:rsidRDefault="00912BDF" w:rsidP="00912BDF">
      <w:pPr>
        <w:ind w:left="567" w:hanging="567"/>
        <w:rPr>
          <w:szCs w:val="22"/>
        </w:rPr>
      </w:pPr>
    </w:p>
    <w:p w14:paraId="0D35FF9D" w14:textId="77777777" w:rsidR="00912BDF" w:rsidRPr="00A913BF" w:rsidRDefault="00912BDF" w:rsidP="00912BDF">
      <w:pPr>
        <w:rPr>
          <w:szCs w:val="22"/>
        </w:rPr>
      </w:pPr>
      <w:r w:rsidRPr="00A913BF">
        <w:rPr>
          <w:szCs w:val="22"/>
        </w:rPr>
        <w:t>Farmakoterapinė grupė – angiotenzino-II receptorių blokatoriai, gryni, ATC kodas – C09CA06</w:t>
      </w:r>
    </w:p>
    <w:p w14:paraId="6B9BD1F8" w14:textId="77777777" w:rsidR="00912BDF" w:rsidRPr="00A913BF" w:rsidRDefault="00912BDF" w:rsidP="00912BDF">
      <w:pPr>
        <w:rPr>
          <w:szCs w:val="22"/>
        </w:rPr>
      </w:pPr>
    </w:p>
    <w:p w14:paraId="53D3102D" w14:textId="77777777" w:rsidR="00912BDF" w:rsidRPr="00A913BF" w:rsidRDefault="00912BDF" w:rsidP="00912BDF">
      <w:pPr>
        <w:rPr>
          <w:szCs w:val="22"/>
          <w:u w:val="single"/>
        </w:rPr>
      </w:pPr>
      <w:r w:rsidRPr="00A913BF">
        <w:rPr>
          <w:szCs w:val="22"/>
          <w:u w:val="single"/>
        </w:rPr>
        <w:t>Veikimo mechanizmas</w:t>
      </w:r>
    </w:p>
    <w:p w14:paraId="63207C91" w14:textId="77777777" w:rsidR="00912BDF" w:rsidRPr="00A913BF" w:rsidRDefault="00912BDF" w:rsidP="00912BDF">
      <w:pPr>
        <w:rPr>
          <w:szCs w:val="22"/>
        </w:rPr>
      </w:pPr>
      <w:r w:rsidRPr="00A913BF">
        <w:rPr>
          <w:szCs w:val="22"/>
        </w:rPr>
        <w:t xml:space="preserve">Angiotenzinas-II yra svarbiausias kraujagysles veikiantis renino, angiotenzino ir aldosterono sistemos hormonas, turintis reikšmės hipertenzijos, širdies nepakankamumo bei kitų širdies ir kraujagyslių sutrikimų patologinei fiziologijai. Be to, jis turi reikšmės veikiamų organų hipertrofijos ir pažeidimų patogenezei. Svarbiausieji fiziologiniai angiotenzino-II poveikiai (kraujagyslių susiaurėjimas, </w:t>
      </w:r>
      <w:r w:rsidRPr="00A913BF">
        <w:rPr>
          <w:szCs w:val="22"/>
        </w:rPr>
        <w:lastRenderedPageBreak/>
        <w:t>aldosterono sekrecijos stimuliacija, druskos ir vandens homeostazės reguliavimas, ląstelių augimo stimuliavimas) perduodami per I tipo (AT</w:t>
      </w:r>
      <w:r w:rsidRPr="00A913BF">
        <w:rPr>
          <w:szCs w:val="22"/>
          <w:vertAlign w:val="subscript"/>
        </w:rPr>
        <w:t>1</w:t>
      </w:r>
      <w:r w:rsidRPr="00A913BF">
        <w:rPr>
          <w:szCs w:val="22"/>
        </w:rPr>
        <w:t>) receptorius.</w:t>
      </w:r>
    </w:p>
    <w:p w14:paraId="7057A7EE" w14:textId="77777777" w:rsidR="00912BDF" w:rsidRPr="00A913BF" w:rsidRDefault="00912BDF" w:rsidP="00912BDF">
      <w:pPr>
        <w:rPr>
          <w:szCs w:val="22"/>
        </w:rPr>
      </w:pPr>
    </w:p>
    <w:p w14:paraId="6DD24CD2" w14:textId="77777777" w:rsidR="00912BDF" w:rsidRPr="00A913BF" w:rsidRDefault="00912BDF" w:rsidP="00912BDF">
      <w:pPr>
        <w:rPr>
          <w:szCs w:val="22"/>
          <w:u w:val="single"/>
        </w:rPr>
      </w:pPr>
      <w:r w:rsidRPr="00A913BF">
        <w:rPr>
          <w:szCs w:val="22"/>
          <w:u w:val="single"/>
        </w:rPr>
        <w:t>Farmakodinaminis poveikis</w:t>
      </w:r>
    </w:p>
    <w:p w14:paraId="37D9FBC4" w14:textId="77777777" w:rsidR="00912BDF" w:rsidRPr="00A913BF" w:rsidRDefault="00912BDF" w:rsidP="00912BDF">
      <w:pPr>
        <w:rPr>
          <w:szCs w:val="22"/>
        </w:rPr>
      </w:pPr>
      <w:r w:rsidRPr="00A913BF">
        <w:rPr>
          <w:szCs w:val="22"/>
        </w:rPr>
        <w:t>Kandesartano cileksetilas yra provaistas, tinkamas vartoti per burną. Vykstant esterio hidrolizei absorbcijos iš virškinimo trakto metu, jis greitai paverčiamas veikliąja medžiaga – kandesartanu. Kandesartanas yra angiotenzino-II receptorių blokatorius, selektyvus AT</w:t>
      </w:r>
      <w:r w:rsidRPr="00A913BF">
        <w:rPr>
          <w:szCs w:val="22"/>
          <w:vertAlign w:val="subscript"/>
        </w:rPr>
        <w:t>1</w:t>
      </w:r>
      <w:r w:rsidRPr="00A913BF">
        <w:rPr>
          <w:szCs w:val="22"/>
        </w:rPr>
        <w:t xml:space="preserve"> receptoriams. Jis stipriai prisijungia prie šių receptorių, lėtai nuo jų atsipalaiduoja ir neturi agonistinio aktyvumo.</w:t>
      </w:r>
    </w:p>
    <w:p w14:paraId="409C6233" w14:textId="77777777" w:rsidR="00912BDF" w:rsidRPr="00A913BF" w:rsidRDefault="00912BDF" w:rsidP="00912BDF">
      <w:pPr>
        <w:rPr>
          <w:szCs w:val="22"/>
        </w:rPr>
      </w:pPr>
    </w:p>
    <w:p w14:paraId="4A7009C1" w14:textId="77777777" w:rsidR="00912BDF" w:rsidRPr="00A913BF" w:rsidRDefault="00912BDF" w:rsidP="00912BDF">
      <w:pPr>
        <w:rPr>
          <w:szCs w:val="22"/>
        </w:rPr>
      </w:pPr>
      <w:r w:rsidRPr="00A913BF">
        <w:rPr>
          <w:szCs w:val="22"/>
        </w:rPr>
        <w:t>Kandesartanas neslopina AKF, skatinančio angiotenzino-I virtimą angiotenzinu-II bei bradikinino irimą. Poveikio AKF nepasireiškia, bradikinino ir substancijos P veikimas nesustiprėja. Kontroliuojamų klinikinių tyrimų metu kandesartano cileksetilą vartoję pacientai pradėjo kosėti rečiau negu vartoję AKF inhibitorius. Kandesartanas nesijungia prie kitų širdies ir kraujagyslių sistemos veiklos reguliacijai svarbių hormonų receptorių ar jonų kanalų ir jų neblokuoja. Dėl angiotenzinui-II jautrių receptorių (AT</w:t>
      </w:r>
      <w:r w:rsidRPr="00A913BF">
        <w:rPr>
          <w:szCs w:val="22"/>
          <w:vertAlign w:val="subscript"/>
        </w:rPr>
        <w:t>1</w:t>
      </w:r>
      <w:r w:rsidRPr="00A913BF">
        <w:rPr>
          <w:szCs w:val="22"/>
        </w:rPr>
        <w:t>) blokavimo priklausomai nuo dozės padidėja renino, angiotenzino-I ir angiotenzino-II bei sumažėja aldosterono koncentracija plazmoje.</w:t>
      </w:r>
    </w:p>
    <w:p w14:paraId="4733190A" w14:textId="77777777" w:rsidR="00912BDF" w:rsidRPr="00A913BF" w:rsidRDefault="00912BDF" w:rsidP="00912BDF">
      <w:pPr>
        <w:rPr>
          <w:szCs w:val="22"/>
        </w:rPr>
      </w:pPr>
    </w:p>
    <w:p w14:paraId="0E546C01" w14:textId="77777777" w:rsidR="00912BDF" w:rsidRPr="00A913BF" w:rsidRDefault="00912BDF" w:rsidP="00912BDF">
      <w:pPr>
        <w:rPr>
          <w:szCs w:val="22"/>
          <w:u w:val="single"/>
        </w:rPr>
      </w:pPr>
      <w:r w:rsidRPr="00A913BF">
        <w:rPr>
          <w:szCs w:val="22"/>
          <w:u w:val="single"/>
        </w:rPr>
        <w:t>Klinikinis veiksmingumas ir saugumas</w:t>
      </w:r>
    </w:p>
    <w:p w14:paraId="57C00DE5" w14:textId="77777777" w:rsidR="00912BDF" w:rsidRPr="00A913BF" w:rsidRDefault="00912BDF" w:rsidP="00912BDF">
      <w:pPr>
        <w:rPr>
          <w:i/>
          <w:szCs w:val="22"/>
          <w:u w:val="single"/>
        </w:rPr>
      </w:pPr>
      <w:r w:rsidRPr="00A913BF">
        <w:rPr>
          <w:i/>
          <w:szCs w:val="22"/>
          <w:u w:val="single"/>
        </w:rPr>
        <w:t>Hipertenzija</w:t>
      </w:r>
    </w:p>
    <w:p w14:paraId="7DE1F87B" w14:textId="77777777" w:rsidR="00912BDF" w:rsidRPr="00A913BF" w:rsidRDefault="00912BDF" w:rsidP="00912BDF">
      <w:pPr>
        <w:rPr>
          <w:szCs w:val="22"/>
        </w:rPr>
      </w:pPr>
      <w:r w:rsidRPr="00A913BF">
        <w:rPr>
          <w:szCs w:val="22"/>
        </w:rPr>
        <w:t>Hipertenzija sergantiems pacientams kandesartanas sukelia nuo dozės priklausomą ilgalaikį arterinio kraujospūdžio sumažėjimą. Antihipertenzinį poveikį lemia sisteminio periferinio pasipriešinimo sumažėjimas be refleksinio širdies susitraukimų padažnėjimo. Nėra duomenų, kurie rodytų, kad pirma dozė sukeltų sunkią ar pernelyg ryškią hipotenziją, arba kad nutraukus šio vaisto vartojimą pasireikštų rikošetinė hipertenzija.</w:t>
      </w:r>
    </w:p>
    <w:p w14:paraId="61069545" w14:textId="77777777" w:rsidR="00912BDF" w:rsidRPr="00A913BF" w:rsidRDefault="00912BDF" w:rsidP="00912BDF">
      <w:pPr>
        <w:rPr>
          <w:szCs w:val="22"/>
        </w:rPr>
      </w:pPr>
    </w:p>
    <w:p w14:paraId="54996B61" w14:textId="77777777" w:rsidR="00912BDF" w:rsidRPr="00A913BF" w:rsidRDefault="00912BDF" w:rsidP="00912BDF">
      <w:pPr>
        <w:rPr>
          <w:szCs w:val="22"/>
        </w:rPr>
      </w:pPr>
      <w:r w:rsidRPr="00A913BF">
        <w:rPr>
          <w:szCs w:val="22"/>
        </w:rPr>
        <w:t>Išgėrus vieną kandesartano cileksetilo dozę, antihipertenzinis poveikis paprastai pasireiškia per 2 val. Nepertraukiamai vartojant bet kokią šio vaistinio preparato dozę, didžiausia kraujospūdį mažinančio poveikio dalis pasireiškia per 4 savaites; gydant ilgai kraujospūdis išlieka sumažėjęs. Metaanalizės duomenimis, vidutinis papildomas dozės padidinimo nuo 16 mg iki 32 mg 1 kartą per parą sukeliamas poveikis yra silpnas. Vis dėlto, atsižvelgiant į skirtingų asmenų organizmo ypatybių skirtumus, kai kuriems pacientams galima tikėtis stipresnio už vidutinį poveikio. 1 kartą per parą vartojamas kandesartano cileksetilas užtikrina veiksmingą ir stabilų kraujospūdžio mažėjimą visas 24 val., skirtumas tarp stipriausiojo ir silpniausiojo poveikio šio intervalo metu būna mažas. Atlikti 2 atsitiktinės atrankos, dvigubai aklo pobūdžio klinikiniai tyrimai kandesartano ir losartano antihipertenziniam poveikiui bei toleravimui palyginti (juose dalyvavo 1268 pacientai, sirgę lengva ar vidutinio sunkumo hipertenzija). Vartojant 32 mg kandesartano cileksetilo 1 kartą per parą, vidutinis kraujospūdžio (sistolinio/diastolinio) sumažėjimas esant minimaliai vaisto koncentracijai buvo 13,1/10,5 mmHg, vartojant 100 mg losartano kalio 1 kartą per parą – 10/8,7 mmHg (sumažėjimo skirtumas – 3,1/1,8 mmHg, p &lt; 0,0001/p &lt; 0,0001).</w:t>
      </w:r>
    </w:p>
    <w:p w14:paraId="1CB956FC" w14:textId="77777777" w:rsidR="00912BDF" w:rsidRPr="00A913BF" w:rsidRDefault="00912BDF" w:rsidP="00912BDF">
      <w:pPr>
        <w:rPr>
          <w:szCs w:val="22"/>
        </w:rPr>
      </w:pPr>
    </w:p>
    <w:p w14:paraId="0D4AC6DC" w14:textId="77777777" w:rsidR="00912BDF" w:rsidRPr="00A913BF" w:rsidRDefault="00912BDF" w:rsidP="00912BDF">
      <w:pPr>
        <w:rPr>
          <w:szCs w:val="22"/>
        </w:rPr>
      </w:pPr>
      <w:r w:rsidRPr="00A913BF">
        <w:rPr>
          <w:szCs w:val="22"/>
        </w:rPr>
        <w:t>Kartu vartojamų kandesartano cileksetilo ir hidrochlorotiazido antihipertenzinis poveikis sumuojasi. Antihipertenzinis poveikis taip pat sustiprėja kandesartano cileksetilą vartojant kartu su amlodipinu ar felodipinu.</w:t>
      </w:r>
    </w:p>
    <w:p w14:paraId="08BB9A13" w14:textId="77777777" w:rsidR="00912BDF" w:rsidRPr="00A913BF" w:rsidRDefault="00912BDF" w:rsidP="00912BDF">
      <w:pPr>
        <w:rPr>
          <w:szCs w:val="22"/>
        </w:rPr>
      </w:pPr>
    </w:p>
    <w:p w14:paraId="20128E91" w14:textId="77777777" w:rsidR="00912BDF" w:rsidRPr="00A913BF" w:rsidRDefault="00912BDF" w:rsidP="00912BDF">
      <w:pPr>
        <w:rPr>
          <w:szCs w:val="22"/>
        </w:rPr>
      </w:pPr>
      <w:r w:rsidRPr="00A913BF">
        <w:rPr>
          <w:szCs w:val="22"/>
        </w:rPr>
        <w:t>Renino, angiotenzino ir aldosterono sistemą blokuojančių vaistinių preparatų (įskaitant kandesartaną) antihipertenzinis poveikis juodaodžiams pacientams (jų organizme renino koncentracija paprastai būna maža) yra silpnesnis negu kitiems. Atviro neintervencinio klinikinio tyrimo, kuriame dalyvavo 5156 diastoline hipertenzija sirgę pacientai, metu kandesartaną vartojusių juodaodžių pacientų kraujospūdis sumažėjo reikšmingai mažiau negu kitų (atitinkamai 14,4/10,3 mmHg ir 19/12,7 mmHg, p &lt; 0,0001 / p &lt; 0,0001).</w:t>
      </w:r>
    </w:p>
    <w:p w14:paraId="02F404FB" w14:textId="77777777" w:rsidR="00912BDF" w:rsidRPr="00A913BF" w:rsidRDefault="00912BDF" w:rsidP="00912BDF">
      <w:pPr>
        <w:rPr>
          <w:szCs w:val="22"/>
        </w:rPr>
      </w:pPr>
    </w:p>
    <w:p w14:paraId="666FBC6A" w14:textId="77777777" w:rsidR="00912BDF" w:rsidRPr="00A913BF" w:rsidRDefault="00912BDF" w:rsidP="00912BDF">
      <w:pPr>
        <w:rPr>
          <w:szCs w:val="22"/>
        </w:rPr>
      </w:pPr>
      <w:r w:rsidRPr="00A913BF">
        <w:rPr>
          <w:szCs w:val="22"/>
        </w:rPr>
        <w:t>Kandesartanas didina inkstų kraujotaką ir neveikia glomerulų filtracijos greičio arba jį didina, inkstų kraujagyslių pasipriešinimas ir filtruojamoji frakcija sumažėja. 3 mėnesių trukmės klinikinio tyrimo, kuriame dalyvavo hipertenzija ir II tipo cukriniu diabetu su mikroalbuminurija sergantys pacientai, metu padidėjusiam kraujospūdžiui mažinti vartotas kandesartano cileksetilas sumažino albumino išskyrimą su šlapimu (albumino ir kreatinino santykis sumažėjo vidutiniškai 30%, 95% PI – 15</w:t>
      </w:r>
      <w:r w:rsidRPr="00A913BF">
        <w:rPr>
          <w:szCs w:val="22"/>
        </w:rPr>
        <w:noBreakHyphen/>
        <w:t>42%). Duomenų apie kandesartano poveikį inkstų pažeidimo progresavimui link diabetinės nefropatijos nėra.</w:t>
      </w:r>
    </w:p>
    <w:p w14:paraId="679C274B" w14:textId="77777777" w:rsidR="00912BDF" w:rsidRPr="00A913BF" w:rsidRDefault="00912BDF" w:rsidP="00912BDF">
      <w:pPr>
        <w:rPr>
          <w:szCs w:val="22"/>
        </w:rPr>
      </w:pPr>
    </w:p>
    <w:p w14:paraId="6C9C5198" w14:textId="77777777" w:rsidR="00912BDF" w:rsidRPr="00A913BF" w:rsidRDefault="00912BDF" w:rsidP="00912BDF">
      <w:pPr>
        <w:rPr>
          <w:szCs w:val="22"/>
        </w:rPr>
      </w:pPr>
      <w:r w:rsidRPr="00A913BF">
        <w:rPr>
          <w:szCs w:val="22"/>
        </w:rPr>
        <w:t>Kandesartano cileksetilo, vartojamo 8</w:t>
      </w:r>
      <w:r w:rsidRPr="00A913BF">
        <w:rPr>
          <w:szCs w:val="22"/>
        </w:rPr>
        <w:noBreakHyphen/>
        <w:t>16 mg dozėmis (vidutinė dozė – 12 mg) 1 kartą per parą, poveikis sergamumui kardiovaskulinėmis ligomis ir mirštamumui nuo jų tirtas atliekant atsitiktinės atrankos klinikinį tyrimą SCOPE (</w:t>
      </w:r>
      <w:r w:rsidRPr="00A913BF">
        <w:rPr>
          <w:i/>
          <w:iCs/>
          <w:szCs w:val="22"/>
        </w:rPr>
        <w:t>Study on COgnition and Prognosis in the Elderly</w:t>
      </w:r>
      <w:r w:rsidRPr="00A913BF">
        <w:rPr>
          <w:szCs w:val="22"/>
        </w:rPr>
        <w:t xml:space="preserve"> – pažintinės funkcijos ir prognozės senyvame amžiuje tyrimas). Jame dalyvavę 4937 senyvi pacientai (amžius – 70</w:t>
      </w:r>
      <w:r w:rsidRPr="00A913BF">
        <w:rPr>
          <w:szCs w:val="22"/>
        </w:rPr>
        <w:noBreakHyphen/>
        <w:t xml:space="preserve">89 metų, 21% buvo 80 metų ir vyresni), kurie sirgo lengva ar vidutinio sunkumo hipertenzija, buvo stebimi vidutiniškai 3,7 metų. Pacientai vartojo kandesartano cileksetilą arba placebą ir (pagal poreikį) kitų antihipertenzinių vaistų. Kandesartano grupės pacientų kraujospūdis sumažėjo nuo 166/90 mmHg iki 145/80 mmHg, kontrolinės grupės – nuo 167/90 mmHg iki 149/82 mmHg. Statistikai reikšmingos pagrindinės vertinamosios baigties (angl., </w:t>
      </w:r>
      <w:r w:rsidRPr="00A913BF">
        <w:rPr>
          <w:i/>
          <w:szCs w:val="22"/>
        </w:rPr>
        <w:t>primary endpoint</w:t>
      </w:r>
      <w:r w:rsidRPr="00A913BF">
        <w:rPr>
          <w:szCs w:val="22"/>
        </w:rPr>
        <w:t>) – didžiųjų kardiovaskulinių reiškinių (kardiovaskulinių mirčių, nemirtinų insultų ir nemirtinų miokardo infarktų) – dažnio skirtumo nenustatyta. Kandesartano grupėje 1000 pacientų - metų tokių reiškinių buvo 26,7, kontrolinėje – 30 (santykinė rizika – 0,89, 95% PI – 0,75</w:t>
      </w:r>
      <w:r w:rsidRPr="00A913BF">
        <w:rPr>
          <w:szCs w:val="22"/>
        </w:rPr>
        <w:noBreakHyphen/>
        <w:t>1,06, p = 0,19).</w:t>
      </w:r>
    </w:p>
    <w:p w14:paraId="43F31CE5" w14:textId="77777777" w:rsidR="00912BDF" w:rsidRPr="00A913BF" w:rsidRDefault="00912BDF" w:rsidP="00912BDF">
      <w:pPr>
        <w:rPr>
          <w:szCs w:val="22"/>
        </w:rPr>
      </w:pPr>
    </w:p>
    <w:p w14:paraId="60A84D96" w14:textId="77777777" w:rsidR="00912BDF" w:rsidRPr="00A913BF" w:rsidRDefault="00912BDF" w:rsidP="00912BDF">
      <w:pPr>
        <w:rPr>
          <w:szCs w:val="22"/>
        </w:rPr>
      </w:pPr>
      <w:r w:rsidRPr="00A913BF">
        <w:rPr>
          <w:szCs w:val="22"/>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33B56FE0" w14:textId="77777777" w:rsidR="00912BDF" w:rsidRPr="00A913BF" w:rsidRDefault="00912BDF" w:rsidP="00912BDF">
      <w:pPr>
        <w:rPr>
          <w:szCs w:val="22"/>
        </w:rPr>
      </w:pPr>
    </w:p>
    <w:p w14:paraId="5291ABEE" w14:textId="77777777" w:rsidR="00912BDF" w:rsidRPr="00A913BF" w:rsidRDefault="00912BDF" w:rsidP="00912BDF">
      <w:pPr>
        <w:rPr>
          <w:szCs w:val="22"/>
        </w:rPr>
      </w:pPr>
      <w:r w:rsidRPr="00A913BF">
        <w:rPr>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397DB535" w14:textId="77777777" w:rsidR="00912BDF" w:rsidRPr="00A913BF" w:rsidRDefault="00912BDF" w:rsidP="00912BDF">
      <w:pPr>
        <w:rPr>
          <w:szCs w:val="22"/>
        </w:rPr>
      </w:pPr>
    </w:p>
    <w:p w14:paraId="269D93BD" w14:textId="77777777" w:rsidR="00912BDF" w:rsidRPr="00A913BF" w:rsidRDefault="00912BDF" w:rsidP="00912BDF">
      <w:pPr>
        <w:rPr>
          <w:szCs w:val="22"/>
        </w:rPr>
      </w:pPr>
      <w:r w:rsidRPr="00A913BF">
        <w:rPr>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06397934" w14:textId="77777777" w:rsidR="00912BDF" w:rsidRPr="00A913BF" w:rsidRDefault="00912BDF" w:rsidP="00912BDF">
      <w:pPr>
        <w:rPr>
          <w:szCs w:val="22"/>
        </w:rPr>
      </w:pPr>
      <w:r w:rsidRPr="00A913BF">
        <w:rPr>
          <w:szCs w:val="22"/>
        </w:rPr>
        <w:t>Todėl pacientams, sergantiems diabetine nefropatija, negalima kartu vartoti AKF inhibitorių ir angiotenzino II receptorių blokatorių.</w:t>
      </w:r>
    </w:p>
    <w:p w14:paraId="65EB7490" w14:textId="77777777" w:rsidR="00912BDF" w:rsidRPr="00A913BF" w:rsidRDefault="00912BDF" w:rsidP="00912BDF">
      <w:pPr>
        <w:rPr>
          <w:szCs w:val="22"/>
        </w:rPr>
      </w:pPr>
    </w:p>
    <w:p w14:paraId="14E3ACC1" w14:textId="77777777" w:rsidR="00912BDF" w:rsidRPr="00A913BF" w:rsidRDefault="00912BDF" w:rsidP="00912BDF">
      <w:pPr>
        <w:rPr>
          <w:szCs w:val="22"/>
        </w:rPr>
      </w:pPr>
      <w:r w:rsidRPr="00A913BF">
        <w:rPr>
          <w:szCs w:val="22"/>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7D6725ED" w14:textId="77777777" w:rsidR="00912BDF" w:rsidRPr="00A913BF" w:rsidRDefault="00912BDF" w:rsidP="00912BDF">
      <w:pPr>
        <w:rPr>
          <w:szCs w:val="22"/>
        </w:rPr>
      </w:pPr>
    </w:p>
    <w:p w14:paraId="7926EFAD" w14:textId="77777777" w:rsidR="00912BDF" w:rsidRPr="00A913BF" w:rsidRDefault="00912BDF" w:rsidP="00912BDF">
      <w:pPr>
        <w:rPr>
          <w:i/>
          <w:szCs w:val="22"/>
        </w:rPr>
      </w:pPr>
      <w:r w:rsidRPr="00A913BF">
        <w:rPr>
          <w:i/>
          <w:szCs w:val="22"/>
        </w:rPr>
        <w:t>Hipertenzija sergančių vaikų populiacija</w:t>
      </w:r>
    </w:p>
    <w:p w14:paraId="65C5C658" w14:textId="77777777" w:rsidR="00912BDF" w:rsidRPr="00A913BF" w:rsidRDefault="00912BDF" w:rsidP="00912BDF">
      <w:pPr>
        <w:rPr>
          <w:szCs w:val="22"/>
        </w:rPr>
      </w:pPr>
      <w:r w:rsidRPr="00A913BF">
        <w:rPr>
          <w:szCs w:val="22"/>
        </w:rPr>
        <w:t>Kandesartano antihipertenzinis poveikis hipertenzija sergantiems vaikams nuo 1 iki &lt; 6 metų ir nuo 6 iki &lt; 17 metų vertintas atsitiktinės atrankos dvigubai aklų daugelyje centrų atliktų 4 savaičių trukmės dozės diapazono tyrimų metu.</w:t>
      </w:r>
    </w:p>
    <w:p w14:paraId="6F56F99A" w14:textId="77777777" w:rsidR="00912BDF" w:rsidRPr="00A913BF" w:rsidRDefault="00912BDF" w:rsidP="00912BDF">
      <w:pPr>
        <w:rPr>
          <w:szCs w:val="22"/>
        </w:rPr>
      </w:pPr>
    </w:p>
    <w:p w14:paraId="76B28EC4" w14:textId="77777777" w:rsidR="00912BDF" w:rsidRPr="00A913BF" w:rsidRDefault="00912BDF" w:rsidP="00912BDF">
      <w:pPr>
        <w:rPr>
          <w:szCs w:val="22"/>
        </w:rPr>
      </w:pPr>
      <w:r w:rsidRPr="00A913BF">
        <w:rPr>
          <w:szCs w:val="22"/>
        </w:rPr>
        <w:t>93 vaikai, kurių amžius buvo nuo 1 iki &lt; 6 metų (74 % jų sirgo inkstų ligomis), atsitiktinai atrinkti gerti 0,05 mg/kg, 0,20 mg/kg arba 0,40 mg/kg kandesartano cileksetilo suspensijos 1 kartą per parą. Pagrindinis analizuotas rodiklis buvo sistolinio kraujospūdžio (sAKS) pokytis priklausomai nuo dozės. 3 kandesartano cileksetilo dozių grupių pacientų sAKS ir diastolinis kraujospūdis (dAKS), palyginus su pradiniu, sumažėjo nuo 6,0/5,2 mmHg iki 12,0/11,1 mmHg. Vis dėlto placebo grupės nebuvo, todėl nėra aišku kiek kraujospūdis sumažėjo iš tikrųjų ir sudėtinga daryti galutines išvadas dėl rizikos ir naudos santykio šiai amžiaus grupei.</w:t>
      </w:r>
    </w:p>
    <w:p w14:paraId="3B1BDEED" w14:textId="77777777" w:rsidR="00912BDF" w:rsidRPr="00A913BF" w:rsidRDefault="00912BDF" w:rsidP="00912BDF">
      <w:pPr>
        <w:rPr>
          <w:szCs w:val="22"/>
        </w:rPr>
      </w:pPr>
    </w:p>
    <w:p w14:paraId="37440F54" w14:textId="77777777" w:rsidR="00912BDF" w:rsidRPr="00A913BF" w:rsidRDefault="00912BDF" w:rsidP="00912BDF">
      <w:pPr>
        <w:rPr>
          <w:szCs w:val="22"/>
        </w:rPr>
      </w:pPr>
      <w:r w:rsidRPr="00A913BF">
        <w:rPr>
          <w:szCs w:val="22"/>
        </w:rPr>
        <w:t xml:space="preserve">240 vaikų, kurių amžius buvo nuo 6 iki &lt;17 metų, atsitiktinai atrinkti vartoti placebą arba mažą, vidutinę ar didelę kandesartano cileksetilo dozę santykiu 1 : 2 : 2 : 2. &lt; 50 kg svorio vaikams kandesartano cileksetilo dozė buvo 2 mg, 8 mg arba 16 mg, o &gt; 50 kg svorio – 4 mg, 16 mg arba 32 mg 1 kartą per parą. Kartu paėmus visas dozes, kandesartanas sukėlė sAKS sumažėjimą </w:t>
      </w:r>
      <w:r w:rsidRPr="00A913BF">
        <w:rPr>
          <w:szCs w:val="22"/>
        </w:rPr>
        <w:lastRenderedPageBreak/>
        <w:t>10,2 mmHg (p &lt; 0,0001) ir dAKS – 6,6 mmHg (p = 0,0029) (palyginus su pradiniu). Placebo grupės pacientų sAKS, palyginus su pradiniu, sumažėjo 3,7 mmHg (p = 0,0074), o dAKS – 1,80 mmHg (p = 0,0992). Nepaisant stipriai išreikšto placebo veikimo, visų kandesartano dozių atskirai ir taip pat jų visų kartu poveikis buvo reikšmingai palankesnis negu placebo. &lt; 50 kg svorio vaikų kraujospūdis labiausiai sumažėjo nuo 8 mg, o &gt; 50 kg svorio – nuo 16 mg dozės (ją didinant toliau poveikis pasiekdavo plato fazę).</w:t>
      </w:r>
    </w:p>
    <w:p w14:paraId="490CCC34" w14:textId="77777777" w:rsidR="00912BDF" w:rsidRPr="00A913BF" w:rsidRDefault="00912BDF" w:rsidP="00912BDF">
      <w:pPr>
        <w:rPr>
          <w:szCs w:val="22"/>
        </w:rPr>
      </w:pPr>
    </w:p>
    <w:p w14:paraId="0B02B3B2" w14:textId="77777777" w:rsidR="00912BDF" w:rsidRPr="00A913BF" w:rsidRDefault="00912BDF" w:rsidP="00912BDF">
      <w:pPr>
        <w:rPr>
          <w:szCs w:val="22"/>
        </w:rPr>
      </w:pPr>
      <w:r w:rsidRPr="00A913BF">
        <w:rPr>
          <w:szCs w:val="22"/>
        </w:rPr>
        <w:t>47 % įtrauktų pacientų buvo juodaodžiai, 29 % – mergaitės, jų vidutinis amžius (+/- standartinė paklaida) buvo 12,9 +/- 2,6 metai. Pastebėta tendencija, kad poveikis juodaodžių vaikų nuo 6 iki &lt; 17 metų kraujospūdžiui yra silpnesnis negu kitiems.</w:t>
      </w:r>
    </w:p>
    <w:p w14:paraId="01B46E1D" w14:textId="77777777" w:rsidR="00912BDF" w:rsidRPr="00A913BF" w:rsidRDefault="00912BDF" w:rsidP="00912BDF">
      <w:pPr>
        <w:rPr>
          <w:szCs w:val="22"/>
        </w:rPr>
      </w:pPr>
    </w:p>
    <w:p w14:paraId="01F0F5BA" w14:textId="77777777" w:rsidR="00912BDF" w:rsidRPr="00A913BF" w:rsidRDefault="00912BDF" w:rsidP="00912BDF">
      <w:pPr>
        <w:rPr>
          <w:i/>
          <w:szCs w:val="22"/>
          <w:u w:val="single"/>
        </w:rPr>
      </w:pPr>
      <w:r w:rsidRPr="00A913BF">
        <w:rPr>
          <w:i/>
          <w:szCs w:val="22"/>
          <w:u w:val="single"/>
        </w:rPr>
        <w:t>Širdies nepakankamumas</w:t>
      </w:r>
    </w:p>
    <w:p w14:paraId="140F93FA" w14:textId="77777777" w:rsidR="00912BDF" w:rsidRPr="00A913BF" w:rsidRDefault="00912BDF" w:rsidP="00912BDF">
      <w:pPr>
        <w:rPr>
          <w:szCs w:val="22"/>
        </w:rPr>
      </w:pPr>
      <w:r w:rsidRPr="00A913BF">
        <w:rPr>
          <w:szCs w:val="22"/>
        </w:rPr>
        <w:t>CHARM (</w:t>
      </w:r>
      <w:r w:rsidRPr="00A913BF">
        <w:rPr>
          <w:i/>
          <w:iCs/>
          <w:szCs w:val="22"/>
        </w:rPr>
        <w:t>Candesartan in Heart failure – Assessment of Reduction in Mortality and morbidity;</w:t>
      </w:r>
      <w:r w:rsidRPr="00A913BF">
        <w:rPr>
          <w:szCs w:val="22"/>
        </w:rPr>
        <w:t xml:space="preserve"> – kandesartano vartojimas sergant širdies nepakankamumu – mirštamumo ir sergamumo sumažėjimo vertinimas) klinikinių tyrimų programa parodė, kad gydymas kandesartano cileksetilu mažina pacientų, kuriems yra kairiojo širdies skilvelio disfunkcija, mirčių ir hospitalizacijų dėl širdies nepakankamumo dažnį, lengvina ligos simptomus.</w:t>
      </w:r>
    </w:p>
    <w:p w14:paraId="34AC9929" w14:textId="77777777" w:rsidR="00912BDF" w:rsidRPr="00A913BF" w:rsidRDefault="00912BDF" w:rsidP="00912BDF">
      <w:pPr>
        <w:rPr>
          <w:szCs w:val="22"/>
        </w:rPr>
      </w:pPr>
    </w:p>
    <w:p w14:paraId="5C7C86B7" w14:textId="77777777" w:rsidR="00912BDF" w:rsidRPr="00A913BF" w:rsidRDefault="00912BDF" w:rsidP="00912BDF">
      <w:pPr>
        <w:rPr>
          <w:szCs w:val="22"/>
        </w:rPr>
      </w:pPr>
      <w:r w:rsidRPr="00A913BF">
        <w:rPr>
          <w:szCs w:val="22"/>
        </w:rPr>
        <w:t>Šią placebu kontroliuojamų, dvigubai aklo pobūdžio klinikinių tyrimų programą, į kurią buvo įtraukti II</w:t>
      </w:r>
      <w:r w:rsidRPr="00A913BF">
        <w:rPr>
          <w:szCs w:val="22"/>
        </w:rPr>
        <w:noBreakHyphen/>
        <w:t xml:space="preserve">IV NYHA funkcinės klasės širdies nepakankamumu sergantys pacientai, sudarė 3 atskiri tyrimai: CHARM-Alternative (n = 2028) dalyvavo pacientai, kurių kairiojo skilvelio išvarymo frakcija buvo </w:t>
      </w:r>
      <w:r w:rsidRPr="00A913BF">
        <w:rPr>
          <w:szCs w:val="22"/>
        </w:rPr>
        <w:sym w:font="Symbol" w:char="F0A3"/>
      </w:r>
      <w:r w:rsidRPr="00A913BF">
        <w:rPr>
          <w:szCs w:val="22"/>
        </w:rPr>
        <w:t xml:space="preserve"> 40%, nevartoję AKF inhibitorių dėl netoleravimo (dažniausiai dėl kosulio, 72%); CHARM-Added (n = 2548) dalyvavo pacientai, kurių kairiojo skilvelio išvarymo frakcija buvo </w:t>
      </w:r>
      <w:r w:rsidRPr="00A913BF">
        <w:rPr>
          <w:szCs w:val="22"/>
        </w:rPr>
        <w:sym w:font="Symbol" w:char="F0A3"/>
      </w:r>
      <w:r w:rsidRPr="00A913BF">
        <w:rPr>
          <w:szCs w:val="22"/>
        </w:rPr>
        <w:t> 40%, kartu vartoję AKF inhibitorius; CHARM-Preserved (n = 3023) dalyvavo pacientai, kurių kairiojo skilvelio išvarymo frakcija buvo &gt; 40%. Pacientai, kurių širdies nepakankamumo gydymas iki tyrimo buvo optimalus, atsitiktinai parinkti papildomai vartoti placebą arba kandesartano cileksetilą (jo dozė didinta nuo 4 mg ar 8 mg 1 kartą per parą iki 32 mg 1 kartą per parą arba didžiausios toleruotos, vidutiniškai iki 24 mg). Stebėjimo trukmės mediana buvo 37,7 mėn. Po 6 mėn. gydymo kandesartano cileksetilą toliau vartojo 89% pacientų, 63% iš jų dozė buvo 32 mg (tokia, kurios buvo siekta).</w:t>
      </w:r>
    </w:p>
    <w:p w14:paraId="3048F36C" w14:textId="77777777" w:rsidR="00912BDF" w:rsidRPr="00A913BF" w:rsidRDefault="00912BDF" w:rsidP="00912BDF">
      <w:pPr>
        <w:rPr>
          <w:szCs w:val="22"/>
        </w:rPr>
      </w:pPr>
    </w:p>
    <w:p w14:paraId="79AF4102" w14:textId="77777777" w:rsidR="00912BDF" w:rsidRPr="00A913BF" w:rsidRDefault="00912BDF" w:rsidP="00912BDF">
      <w:pPr>
        <w:rPr>
          <w:szCs w:val="22"/>
        </w:rPr>
      </w:pPr>
      <w:r w:rsidRPr="00A913BF">
        <w:rPr>
          <w:szCs w:val="22"/>
        </w:rPr>
        <w:t xml:space="preserve">CHARM-Alternative tyrimo metu bendras vertinamoji baigtis (angl., </w:t>
      </w:r>
      <w:r w:rsidRPr="00A913BF">
        <w:rPr>
          <w:i/>
          <w:szCs w:val="22"/>
        </w:rPr>
        <w:t>composite endpoint</w:t>
      </w:r>
      <w:r w:rsidRPr="00A913BF">
        <w:rPr>
          <w:szCs w:val="22"/>
        </w:rPr>
        <w:t>), kurią sudarė kardiovaskulinių mirčių ir pirmų hospitalizacijų dėl stazinio širdies nepakankamumo dažnis, kandesartano grupės pacientams buvo reikšmingai palankesnė negu placebo (santykinė rizika – 0,77, 95% PI – 0,67</w:t>
      </w:r>
      <w:r w:rsidRPr="00A913BF">
        <w:rPr>
          <w:szCs w:val="22"/>
        </w:rPr>
        <w:noBreakHyphen/>
        <w:t>0,89, p &lt; 0,001). Tai atitinka santykinės rizikos sumažėjimą 23%. Šią vertinamąją baigtį rodiklį patyrė 33% (95% PI – 30,1</w:t>
      </w:r>
      <w:r w:rsidRPr="00A913BF">
        <w:rPr>
          <w:szCs w:val="22"/>
        </w:rPr>
        <w:noBreakHyphen/>
        <w:t>36) kandesartaną ir 40% (95% PI – 37</w:t>
      </w:r>
      <w:r w:rsidRPr="00A913BF">
        <w:rPr>
          <w:szCs w:val="22"/>
        </w:rPr>
        <w:noBreakHyphen/>
        <w:t>43,1) placebą vartojusių pacientų, absoliutus skirtumas – 7% (95% PI – 11,2</w:t>
      </w:r>
      <w:r w:rsidRPr="00A913BF">
        <w:rPr>
          <w:szCs w:val="22"/>
        </w:rPr>
        <w:noBreakHyphen/>
        <w:t>2,8). Norint vieną pacientą apsaugoti nuo kardiovaskulinės mirties ar hospitalizavimo dėl širdies nepakankamumo, visą tyrimo laiką teko gydyti 14 pacientų. Kita bendra vertinamoji baigtis, kurią sudarė mirčių dėl bet kurios priežasties ir pirmų hospitalizacijų dėl stazinio širdies nepakankamumo dažnis, kandesartano grupės pacientams taip pat buvo reikšmingai palankesnis negu placebo (santykinė rizika – 0,80, 95% PI 0,70-0,92, p = 0,001). Šią vertinamąją baigtį patyrė 36,6% (95% PI – 33,7</w:t>
      </w:r>
      <w:r w:rsidRPr="00A913BF">
        <w:rPr>
          <w:szCs w:val="22"/>
        </w:rPr>
        <w:noBreakHyphen/>
        <w:t>39,7) kandesartaną ir 42,7% (95% PI – 39,6</w:t>
      </w:r>
      <w:r w:rsidRPr="00A913BF">
        <w:rPr>
          <w:szCs w:val="22"/>
        </w:rPr>
        <w:noBreakHyphen/>
        <w:t>45,8) placebą vartojusių pacientų, absoliutus skirtumas – 6.0% (95% PI – 10,3</w:t>
      </w:r>
      <w:r w:rsidRPr="00A913BF">
        <w:rPr>
          <w:szCs w:val="22"/>
        </w:rPr>
        <w:noBreakHyphen/>
        <w:t>1,8). Išvadą apie palankesnį kandesartano poveikį lėmė abiejų vertintų rodiklių (mirčių skaičiaus ir sergamumo) sumažėjimas. Vartojant kandesartano cileksetilą, pagerėjo ir širdies nepakankamumo pagal NYHA funkcinė klasė (p = 0,008).</w:t>
      </w:r>
    </w:p>
    <w:p w14:paraId="535DF491" w14:textId="77777777" w:rsidR="00912BDF" w:rsidRPr="00A913BF" w:rsidRDefault="00912BDF" w:rsidP="00912BDF">
      <w:pPr>
        <w:rPr>
          <w:szCs w:val="22"/>
        </w:rPr>
      </w:pPr>
    </w:p>
    <w:p w14:paraId="567C4ED8" w14:textId="77777777" w:rsidR="00912BDF" w:rsidRPr="00A913BF" w:rsidRDefault="00912BDF" w:rsidP="00912BDF">
      <w:pPr>
        <w:rPr>
          <w:szCs w:val="22"/>
        </w:rPr>
      </w:pPr>
      <w:r w:rsidRPr="00A913BF">
        <w:rPr>
          <w:szCs w:val="22"/>
        </w:rPr>
        <w:t>CHARM-Added tyrimo metu bendra vertinamoji baigtis, kurią sudarė kardiovaskulinių mirčių ir pirmų hospitalizacijų dėl stazinio širdies nepakankamumo dažnis, kandesartano grupės pacientams buvo reikšmingai palankesnis negu placebo (santykinė rizika – 0,85, 95% PI – 0,75-0,96, p = 0,011). Tai atitinka santykinės rizikos sumažėjimą 15%. Šią vertinamąją baigtį patyrė 37,9% (95% PI – 35,2</w:t>
      </w:r>
      <w:r w:rsidRPr="00A913BF">
        <w:rPr>
          <w:szCs w:val="22"/>
        </w:rPr>
        <w:noBreakHyphen/>
        <w:t>40,6) kandesartaną ir 42,3% (95% PI – 39,6</w:t>
      </w:r>
      <w:r w:rsidRPr="00A913BF">
        <w:rPr>
          <w:szCs w:val="22"/>
        </w:rPr>
        <w:noBreakHyphen/>
        <w:t>45,1) placebą vartojusių pacientų, absoliutus skirtumas – 4,4% (95% PI – 8,2</w:t>
      </w:r>
      <w:r w:rsidRPr="00A913BF">
        <w:rPr>
          <w:szCs w:val="22"/>
        </w:rPr>
        <w:noBreakHyphen/>
        <w:t>0,6). Norint vieną pacientą apsaugoti nuo kardiovaskulinės mirties ir hospitalizavimo dėl širdies nepakankamumo, visą tyrimo laiką teko gydyti 23 pacientus. Kita bendra vertinamoji baigtis, kurią sudarė mirčių dėl bet kurios priežasties ir pirmų hospitalizacijų dėl stazinio širdies nepakankamumo dažnis, kandesartano grupės pacientams taip pat buvo reikšmingai palankesnis (santykinė rizika – 0,87, 95% PI – 0,78-0,98, p = 0,021). Šią vertinamąją baigtį patyrė 42,2% (95% PI – 39,5</w:t>
      </w:r>
      <w:r w:rsidRPr="00A913BF">
        <w:rPr>
          <w:szCs w:val="22"/>
        </w:rPr>
        <w:noBreakHyphen/>
        <w:t>45) kandesartaną ir 46,1% (95% PI – 43,4</w:t>
      </w:r>
      <w:r w:rsidRPr="00A913BF">
        <w:rPr>
          <w:szCs w:val="22"/>
        </w:rPr>
        <w:noBreakHyphen/>
        <w:t xml:space="preserve">48,9) placebą vartojusių pacientų, </w:t>
      </w:r>
      <w:r w:rsidRPr="00A913BF">
        <w:rPr>
          <w:szCs w:val="22"/>
        </w:rPr>
        <w:lastRenderedPageBreak/>
        <w:t>absoliutus skirtumas – 3,9% (95% PI – 7,8</w:t>
      </w:r>
      <w:r w:rsidRPr="00A913BF">
        <w:rPr>
          <w:szCs w:val="22"/>
        </w:rPr>
        <w:noBreakHyphen/>
        <w:t>0,1). Išvadą apie palankesnį kandesartano poveikį lėmė abiejų vertinamųjų baigčių (mirčių skaičiaus ir sergamumo) sumažėjimas. Vartojant kandesartano cileksetilą, pagerėjo ir širdies nepakankamumo pagal NYHA funkcinė klasė (p = 0,02).</w:t>
      </w:r>
    </w:p>
    <w:p w14:paraId="79E98B15" w14:textId="77777777" w:rsidR="00912BDF" w:rsidRPr="00A913BF" w:rsidRDefault="00912BDF" w:rsidP="00912BDF">
      <w:pPr>
        <w:rPr>
          <w:szCs w:val="22"/>
        </w:rPr>
      </w:pPr>
    </w:p>
    <w:p w14:paraId="0F89A3EF" w14:textId="77777777" w:rsidR="00912BDF" w:rsidRPr="00A913BF" w:rsidRDefault="00912BDF" w:rsidP="00912BDF">
      <w:pPr>
        <w:rPr>
          <w:szCs w:val="22"/>
        </w:rPr>
      </w:pPr>
      <w:r w:rsidRPr="00A913BF">
        <w:rPr>
          <w:szCs w:val="22"/>
        </w:rPr>
        <w:t>CHARM-Preserved tyrimo metu bendra vertinamoji baigtis, kurią sudarė kardiovaskulinių mirčių ir pirmų hospitalizacijų dėl stazinio širdies nepakankamumo dažnis, statistikai reikšmingai nesiskyrė (santykinė rizika – 0,89, 95% PI – 0,77</w:t>
      </w:r>
      <w:r w:rsidRPr="00A913BF">
        <w:rPr>
          <w:szCs w:val="22"/>
        </w:rPr>
        <w:noBreakHyphen/>
        <w:t>1,03, p = 0,118).</w:t>
      </w:r>
    </w:p>
    <w:p w14:paraId="2E62D2AE" w14:textId="77777777" w:rsidR="00912BDF" w:rsidRPr="00A913BF" w:rsidRDefault="00912BDF" w:rsidP="00912BDF">
      <w:pPr>
        <w:rPr>
          <w:szCs w:val="22"/>
        </w:rPr>
      </w:pPr>
    </w:p>
    <w:p w14:paraId="2039224C" w14:textId="77777777" w:rsidR="00912BDF" w:rsidRPr="00A913BF" w:rsidRDefault="00912BDF" w:rsidP="00912BDF">
      <w:pPr>
        <w:rPr>
          <w:szCs w:val="22"/>
        </w:rPr>
      </w:pPr>
      <w:r w:rsidRPr="00A913BF">
        <w:rPr>
          <w:szCs w:val="22"/>
        </w:rPr>
        <w:t>Atskirai kiekvieno iš šių 3 CHARM tyrimų duomenimis apskaičiuotas mirčių dėl bet kurios priežasties dažnis statistikai reikšmingai nesiskyrė. Mirčių dėl visų priežasčių dažnis buvo taip pat įvertintas bendrose populiacijose: bendrai CHARM-Alternative ir CHARM-Added populiacijai santykinė rizika buvo 0,88 (95% PI – 0,79</w:t>
      </w:r>
      <w:r w:rsidRPr="00A913BF">
        <w:rPr>
          <w:szCs w:val="22"/>
        </w:rPr>
        <w:noBreakHyphen/>
        <w:t xml:space="preserve">0,98, p = 0,018), bendrai visų 3 tyrimų populiacijai – 0,91 (95% PI – 0,83-1,00, p = 0,055). </w:t>
      </w:r>
    </w:p>
    <w:p w14:paraId="4AE58338" w14:textId="77777777" w:rsidR="00912BDF" w:rsidRPr="00A913BF" w:rsidRDefault="00912BDF" w:rsidP="00912BDF">
      <w:pPr>
        <w:rPr>
          <w:szCs w:val="22"/>
        </w:rPr>
      </w:pPr>
    </w:p>
    <w:p w14:paraId="61E7CB5E" w14:textId="77777777" w:rsidR="00912BDF" w:rsidRPr="00A913BF" w:rsidRDefault="00912BDF" w:rsidP="00912BDF">
      <w:pPr>
        <w:rPr>
          <w:szCs w:val="22"/>
        </w:rPr>
      </w:pPr>
      <w:r w:rsidRPr="00A913BF">
        <w:rPr>
          <w:szCs w:val="22"/>
        </w:rPr>
        <w:t>Palankus kandesartano poveikis buvo pastovus, nuo amžiaus, lyties ir kartu vartotų vaistų jis nepriklausė. Kandesartanas taip pat buvo veiksmingas pacientams, kartu vartojusiems beta adrenoblokatorių ir AKF inhibitorius, o palankus poveikis pasireiškė nepriklausomai nuo to, ar pacientai vartojo tikslinę (nurodytą gydymo rekomendacijose) AKF inhibitoriaus dozę.</w:t>
      </w:r>
    </w:p>
    <w:p w14:paraId="1471AEB1" w14:textId="77777777" w:rsidR="00912BDF" w:rsidRPr="00A913BF" w:rsidRDefault="00912BDF" w:rsidP="00912BDF">
      <w:pPr>
        <w:rPr>
          <w:szCs w:val="22"/>
        </w:rPr>
      </w:pPr>
    </w:p>
    <w:p w14:paraId="68477219" w14:textId="77777777" w:rsidR="00912BDF" w:rsidRPr="00A913BF" w:rsidRDefault="00912BDF" w:rsidP="00912BDF">
      <w:pPr>
        <w:rPr>
          <w:iCs/>
          <w:szCs w:val="22"/>
        </w:rPr>
      </w:pPr>
      <w:r w:rsidRPr="00A913BF">
        <w:rPr>
          <w:szCs w:val="22"/>
        </w:rPr>
        <w:t xml:space="preserve">Staziniu širdies nepakankamumu sergantiems pacientams, kurių kairiojo skilvelio sistolinė funkcija susilpnėjusi (kairiojo skilvelio išvarymo frakcija </w:t>
      </w:r>
      <w:r w:rsidRPr="00A913BF">
        <w:rPr>
          <w:szCs w:val="22"/>
        </w:rPr>
        <w:sym w:font="Symbol" w:char="F0A3"/>
      </w:r>
      <w:r w:rsidRPr="00A913BF">
        <w:rPr>
          <w:szCs w:val="22"/>
        </w:rPr>
        <w:t> 40%), kandesartanas mažina sisteminį krauja</w:t>
      </w:r>
      <w:r w:rsidRPr="00A913BF">
        <w:rPr>
          <w:szCs w:val="22"/>
        </w:rPr>
        <w:softHyphen/>
        <w:t>gyslių pasipriešinimą ir spaudimą plaučių kapiliarų tinkle, didina renino aktyvumą ir angiotenzino-II koncentraciją, mažina aldosterono koncentraciją plazmoje.</w:t>
      </w:r>
    </w:p>
    <w:p w14:paraId="17F112F5" w14:textId="77777777" w:rsidR="00912BDF" w:rsidRPr="00A913BF" w:rsidRDefault="00912BDF" w:rsidP="00912BDF">
      <w:pPr>
        <w:ind w:left="567" w:hanging="567"/>
        <w:rPr>
          <w:szCs w:val="22"/>
        </w:rPr>
      </w:pPr>
    </w:p>
    <w:p w14:paraId="16710DBC" w14:textId="77777777" w:rsidR="00912BDF" w:rsidRPr="00A913BF" w:rsidRDefault="00912BDF" w:rsidP="00912BDF">
      <w:pPr>
        <w:ind w:left="567" w:hanging="567"/>
        <w:rPr>
          <w:b/>
          <w:szCs w:val="22"/>
        </w:rPr>
      </w:pPr>
      <w:r w:rsidRPr="00A913BF">
        <w:rPr>
          <w:b/>
          <w:szCs w:val="22"/>
        </w:rPr>
        <w:t>5.2</w:t>
      </w:r>
      <w:r w:rsidRPr="00A913BF">
        <w:rPr>
          <w:b/>
          <w:szCs w:val="22"/>
        </w:rPr>
        <w:tab/>
        <w:t xml:space="preserve">Farmakokinetinės savybės </w:t>
      </w:r>
    </w:p>
    <w:p w14:paraId="0A2898C7" w14:textId="77777777" w:rsidR="00912BDF" w:rsidRPr="00A913BF" w:rsidRDefault="00912BDF" w:rsidP="00912BDF">
      <w:pPr>
        <w:ind w:left="567" w:hanging="567"/>
        <w:rPr>
          <w:szCs w:val="22"/>
        </w:rPr>
      </w:pPr>
    </w:p>
    <w:p w14:paraId="5279B59A" w14:textId="77777777" w:rsidR="00912BDF" w:rsidRPr="00A913BF" w:rsidRDefault="00912BDF" w:rsidP="00912BDF">
      <w:pPr>
        <w:rPr>
          <w:iCs/>
          <w:szCs w:val="22"/>
          <w:u w:val="single"/>
        </w:rPr>
      </w:pPr>
      <w:r w:rsidRPr="00A913BF">
        <w:rPr>
          <w:iCs/>
          <w:szCs w:val="22"/>
          <w:u w:val="single"/>
        </w:rPr>
        <w:t>Absorbcija ir pasiskirstymas</w:t>
      </w:r>
    </w:p>
    <w:p w14:paraId="2238AE56" w14:textId="77777777" w:rsidR="00912BDF" w:rsidRPr="00A913BF" w:rsidRDefault="00912BDF" w:rsidP="00912BDF">
      <w:pPr>
        <w:rPr>
          <w:szCs w:val="22"/>
        </w:rPr>
      </w:pPr>
      <w:r w:rsidRPr="00A913BF">
        <w:rPr>
          <w:szCs w:val="22"/>
        </w:rPr>
        <w:t>Išgertas kandesartano cileksetilas paverčiamas aktyvia medžiaga – kandesartanu. Kandesartano absoliutus biologinis prieinamumas, išgėrus kandesartano cileksetilo tirpalo, yra maždaug 40%. Santykinis tablečių biologinis prieinamumas, palyginus su geriamuoju tirpalu, yra apie 34% (įvairuoja labai mažai), todėl apskaičiuotas absoliutus biologinis prieinamumas, išgėrus tabletę, yra 14%. Išgėrus tabletę, vidutinė didžiausia koncentracija serume (C</w:t>
      </w:r>
      <w:r w:rsidRPr="00A913BF">
        <w:rPr>
          <w:szCs w:val="22"/>
          <w:vertAlign w:val="subscript"/>
        </w:rPr>
        <w:t>max</w:t>
      </w:r>
      <w:r w:rsidRPr="00A913BF">
        <w:rPr>
          <w:szCs w:val="22"/>
        </w:rPr>
        <w:t>) susidaro po 3</w:t>
      </w:r>
      <w:r w:rsidRPr="00A913BF">
        <w:rPr>
          <w:szCs w:val="22"/>
        </w:rPr>
        <w:noBreakHyphen/>
        <w:t>4 val. Didinant dozę terapinėse ribose, kandesartano koncentracija serume didėja tiesine tvarka. Su lytimi susijusių kandesartano farmakokinetikos skirtumų nepastebėta. Maistas neturi reikšmingos įtakos plotui po kandesartano koncentracijos ir laiko kreive (AUC).</w:t>
      </w:r>
    </w:p>
    <w:p w14:paraId="7384E777" w14:textId="77777777" w:rsidR="00912BDF" w:rsidRPr="00A913BF" w:rsidRDefault="00912BDF" w:rsidP="00912BDF">
      <w:pPr>
        <w:rPr>
          <w:szCs w:val="22"/>
        </w:rPr>
      </w:pPr>
    </w:p>
    <w:p w14:paraId="4CB0B259" w14:textId="77777777" w:rsidR="00912BDF" w:rsidRPr="00A913BF" w:rsidRDefault="00912BDF" w:rsidP="00912BDF">
      <w:pPr>
        <w:rPr>
          <w:szCs w:val="22"/>
        </w:rPr>
      </w:pPr>
      <w:r w:rsidRPr="00A913BF">
        <w:rPr>
          <w:szCs w:val="22"/>
        </w:rPr>
        <w:t>Daug (daugiau kaip 99%) kandesartano būna prisijungusio prie plazmos baltymų, jo tariamasis pasiskirstymo tūris yra 0,1 l/kg.</w:t>
      </w:r>
    </w:p>
    <w:p w14:paraId="31B6CC63" w14:textId="77777777" w:rsidR="00912BDF" w:rsidRPr="00A913BF" w:rsidRDefault="00912BDF" w:rsidP="00912BDF">
      <w:pPr>
        <w:rPr>
          <w:szCs w:val="22"/>
        </w:rPr>
      </w:pPr>
    </w:p>
    <w:p w14:paraId="4CCBB374" w14:textId="77777777" w:rsidR="00912BDF" w:rsidRPr="00A913BF" w:rsidRDefault="00912BDF" w:rsidP="00912BDF">
      <w:pPr>
        <w:rPr>
          <w:szCs w:val="22"/>
        </w:rPr>
      </w:pPr>
      <w:r w:rsidRPr="00A913BF">
        <w:rPr>
          <w:szCs w:val="22"/>
        </w:rPr>
        <w:t>Maistas įtakos kandesartano biologiniam prieinamumui neturi.</w:t>
      </w:r>
    </w:p>
    <w:p w14:paraId="3DB0398A" w14:textId="77777777" w:rsidR="00912BDF" w:rsidRPr="00A913BF" w:rsidRDefault="00912BDF" w:rsidP="00912BDF">
      <w:pPr>
        <w:rPr>
          <w:szCs w:val="22"/>
        </w:rPr>
      </w:pPr>
    </w:p>
    <w:p w14:paraId="2C9C3927" w14:textId="77777777" w:rsidR="00912BDF" w:rsidRPr="00A913BF" w:rsidRDefault="00912BDF" w:rsidP="00912BDF">
      <w:pPr>
        <w:rPr>
          <w:iCs/>
          <w:szCs w:val="22"/>
          <w:u w:val="single"/>
        </w:rPr>
      </w:pPr>
      <w:r w:rsidRPr="00A913BF">
        <w:rPr>
          <w:iCs/>
          <w:szCs w:val="22"/>
          <w:u w:val="single"/>
        </w:rPr>
        <w:t>Biotransformacija ir eliminacija</w:t>
      </w:r>
    </w:p>
    <w:p w14:paraId="004954BB" w14:textId="77777777" w:rsidR="00912BDF" w:rsidRPr="00A913BF" w:rsidRDefault="00912BDF" w:rsidP="00912BDF">
      <w:pPr>
        <w:rPr>
          <w:szCs w:val="22"/>
        </w:rPr>
      </w:pPr>
      <w:r w:rsidRPr="00A913BF">
        <w:rPr>
          <w:szCs w:val="22"/>
        </w:rPr>
        <w:t xml:space="preserve">Daugiausia kandesartano eliminuojama nepakitusio su šlapimu ir tulžimi, mažai – vykstant metabolizmui kepenyse (CYP2C9). Turimais sąveikos tyrimų duomenimis, CYP2C9 ir CYP3A4 aktyvumo šis vaistinis preparatas neveikia. Tyrimų </w:t>
      </w:r>
      <w:r w:rsidRPr="00A913BF">
        <w:rPr>
          <w:i/>
          <w:szCs w:val="22"/>
        </w:rPr>
        <w:t>in vitro</w:t>
      </w:r>
      <w:r w:rsidRPr="00A913BF">
        <w:rPr>
          <w:szCs w:val="22"/>
        </w:rPr>
        <w:t xml:space="preserve"> duomenimis, nereikėtų tikėtis sąveikos </w:t>
      </w:r>
      <w:r w:rsidRPr="00A913BF">
        <w:rPr>
          <w:i/>
          <w:szCs w:val="22"/>
        </w:rPr>
        <w:t>in vivo</w:t>
      </w:r>
      <w:r w:rsidRPr="00A913BF">
        <w:rPr>
          <w:szCs w:val="22"/>
        </w:rPr>
        <w:t xml:space="preserve"> su vaistiniais preparatais, kurių metabolizmas priklauso nuo citochromo P450 izofermentų CYP1A2, CYP2A6, CYP2C9, CYP2C19, CYP2D6, CYP2E1 ar CYP3A4. Kandesartano galutinės pusinės eliminacijos pusinis laikas yra maždaug 9 val. Vartojant kartotines dozes, organizme jo nesikaupia.</w:t>
      </w:r>
    </w:p>
    <w:p w14:paraId="184428F5" w14:textId="77777777" w:rsidR="00912BDF" w:rsidRPr="00A913BF" w:rsidRDefault="00912BDF" w:rsidP="00912BDF">
      <w:pPr>
        <w:rPr>
          <w:szCs w:val="22"/>
        </w:rPr>
      </w:pPr>
    </w:p>
    <w:p w14:paraId="09E3FA21" w14:textId="77777777" w:rsidR="00912BDF" w:rsidRPr="00A913BF" w:rsidRDefault="00912BDF" w:rsidP="00912BDF">
      <w:pPr>
        <w:rPr>
          <w:szCs w:val="22"/>
        </w:rPr>
      </w:pPr>
      <w:r w:rsidRPr="00A913BF">
        <w:rPr>
          <w:szCs w:val="22"/>
        </w:rPr>
        <w:t xml:space="preserve">Kandesartano bendras plazmos klirensas yra maždaug 0,37 ml/min./kg, inkstų –maždaug 0,19 ml/min./kg. Kandesartano eliminacija per inkstus vyksta glomerulų filtracijos ir aktyvios kanalėlių sekrecijos būdais. Išgėrus </w:t>
      </w:r>
      <w:r w:rsidRPr="00A913BF">
        <w:rPr>
          <w:szCs w:val="22"/>
          <w:vertAlign w:val="superscript"/>
        </w:rPr>
        <w:t>14</w:t>
      </w:r>
      <w:r w:rsidRPr="00A913BF">
        <w:rPr>
          <w:szCs w:val="22"/>
        </w:rPr>
        <w:t>C žymėto kandesartano cileksetilo, maždaug 26% dozės išskiriama su šlapimu kandesartano ir 7% – neaktyvaus metabolito pavidalu, maždaug 56% randama išmatose kandesartano ir 10% – neaktyvaus metabolito pavidalu.</w:t>
      </w:r>
    </w:p>
    <w:p w14:paraId="09FF6B89" w14:textId="77777777" w:rsidR="00912BDF" w:rsidRPr="00A913BF" w:rsidRDefault="00912BDF" w:rsidP="00912BDF">
      <w:pPr>
        <w:rPr>
          <w:szCs w:val="22"/>
        </w:rPr>
      </w:pPr>
    </w:p>
    <w:p w14:paraId="26CD1E80" w14:textId="77777777" w:rsidR="00912BDF" w:rsidRPr="00A913BF" w:rsidRDefault="00912BDF" w:rsidP="00912BDF">
      <w:pPr>
        <w:rPr>
          <w:iCs/>
          <w:szCs w:val="22"/>
          <w:u w:val="single"/>
        </w:rPr>
      </w:pPr>
      <w:r w:rsidRPr="00A913BF">
        <w:rPr>
          <w:iCs/>
          <w:szCs w:val="22"/>
          <w:u w:val="single"/>
        </w:rPr>
        <w:t>Farmakokinetika ypatingų populiacijų pacientų organizme</w:t>
      </w:r>
    </w:p>
    <w:p w14:paraId="2617D539" w14:textId="77777777" w:rsidR="00912BDF" w:rsidRPr="00A913BF" w:rsidRDefault="00912BDF" w:rsidP="00912BDF">
      <w:pPr>
        <w:rPr>
          <w:szCs w:val="22"/>
        </w:rPr>
      </w:pPr>
      <w:r w:rsidRPr="00A913BF">
        <w:rPr>
          <w:szCs w:val="22"/>
        </w:rPr>
        <w:lastRenderedPageBreak/>
        <w:t>Senyvų (vyresnių kaip 65 metų) žmonių, palyginus su jaunais, plazmoje kandesartano C</w:t>
      </w:r>
      <w:r w:rsidRPr="00A913BF">
        <w:rPr>
          <w:szCs w:val="22"/>
          <w:vertAlign w:val="subscript"/>
        </w:rPr>
        <w:t>max</w:t>
      </w:r>
      <w:r w:rsidRPr="00A913BF">
        <w:rPr>
          <w:szCs w:val="22"/>
        </w:rPr>
        <w:t xml:space="preserve"> būna didesnė maždaug 50%, AUC – maždaug 80%. Vis dėlto, vartojant tokią pačią dozę, Atacand poveikis jaunų ir senyvų žmonių kraujospūdžiui bei jo nepageidaujamų reiškinių dažnis būna panašūs (žr. 4.2 skyrių).</w:t>
      </w:r>
    </w:p>
    <w:p w14:paraId="7B5BA4A6" w14:textId="77777777" w:rsidR="00912BDF" w:rsidRPr="00A913BF" w:rsidRDefault="00912BDF" w:rsidP="00912BDF">
      <w:pPr>
        <w:rPr>
          <w:szCs w:val="22"/>
        </w:rPr>
      </w:pPr>
    </w:p>
    <w:p w14:paraId="05C8764F" w14:textId="77777777" w:rsidR="00912BDF" w:rsidRPr="00A913BF" w:rsidRDefault="00912BDF" w:rsidP="00912BDF">
      <w:pPr>
        <w:rPr>
          <w:szCs w:val="22"/>
        </w:rPr>
      </w:pPr>
      <w:r w:rsidRPr="00A913BF">
        <w:rPr>
          <w:szCs w:val="22"/>
        </w:rPr>
        <w:t>Vartojant šį vaistinį preparatą kartotinai pacientams, kuriems yra lengvas ar vidutinio sunkumo inkstų funkcijos sutrikimas, kandesartano C</w:t>
      </w:r>
      <w:r w:rsidRPr="00A913BF">
        <w:rPr>
          <w:szCs w:val="22"/>
          <w:vertAlign w:val="subscript"/>
        </w:rPr>
        <w:t>max</w:t>
      </w:r>
      <w:r w:rsidRPr="00A913BF">
        <w:rPr>
          <w:szCs w:val="22"/>
        </w:rPr>
        <w:t xml:space="preserve"> padidėja maždaug 50%, o AUC – maždaug 70%, tačiau pusinės eliminacijos laikas nepakinta (palyginus su žmonėmis, kurių inkstų funkcija normali). Vartojant šį vaistinį preparatą kartotinai pacientams, kuriems yra sunkus inkstų funkcijos sutrikimas, kandesartano C</w:t>
      </w:r>
      <w:r w:rsidRPr="00A913BF">
        <w:rPr>
          <w:szCs w:val="22"/>
          <w:vertAlign w:val="subscript"/>
        </w:rPr>
        <w:t>max</w:t>
      </w:r>
      <w:r w:rsidRPr="00A913BF">
        <w:rPr>
          <w:szCs w:val="22"/>
        </w:rPr>
        <w:t xml:space="preserve"> padidėja maždaug 50%, AUC – maždaug 110%, o galutinės pusinės eliminacijos laikas pailgėja maždaug dvigubai. Kandesartano AUC hemodializuojamiems pacientams yra panašus į pacientų, kuriems yra sunkus inkstų funkcijos sutrikimas.</w:t>
      </w:r>
    </w:p>
    <w:p w14:paraId="766F6DDE" w14:textId="77777777" w:rsidR="00912BDF" w:rsidRPr="00A913BF" w:rsidRDefault="00912BDF" w:rsidP="00912BDF">
      <w:pPr>
        <w:rPr>
          <w:szCs w:val="22"/>
        </w:rPr>
      </w:pPr>
    </w:p>
    <w:p w14:paraId="2BD6CE31" w14:textId="77777777" w:rsidR="00912BDF" w:rsidRPr="00A913BF" w:rsidRDefault="00912BDF" w:rsidP="00912BDF">
      <w:pPr>
        <w:rPr>
          <w:szCs w:val="22"/>
        </w:rPr>
      </w:pPr>
      <w:r w:rsidRPr="00A913BF">
        <w:rPr>
          <w:szCs w:val="22"/>
        </w:rPr>
        <w:t>Atlikti du tyrimai, kuriuose dalyvavo pacientai, kuriems buvo lengvas ir vidutinio sunkumo kepenų funkcijos sutrikimas. Vieno tyrimo duomenimis, kandesartano vidutinis AUC buvo didesnis maždaug 20%, kito – 80% (žr. 4.2 skyrių). Pacientams, kuriems yra sunkus kepenų funkcijos sutrikimas, šio vaistinio preparato vartojimo patirties nėra.</w:t>
      </w:r>
    </w:p>
    <w:p w14:paraId="6AB1010B" w14:textId="77777777" w:rsidR="00912BDF" w:rsidRPr="00A913BF" w:rsidRDefault="00912BDF" w:rsidP="00912BDF">
      <w:pPr>
        <w:rPr>
          <w:szCs w:val="22"/>
        </w:rPr>
      </w:pPr>
    </w:p>
    <w:p w14:paraId="2381FBA2" w14:textId="77777777" w:rsidR="00912BDF" w:rsidRPr="00A913BF" w:rsidRDefault="00912BDF" w:rsidP="00912BDF">
      <w:pPr>
        <w:rPr>
          <w:i/>
          <w:szCs w:val="22"/>
          <w:u w:val="single"/>
        </w:rPr>
      </w:pPr>
      <w:r w:rsidRPr="00A913BF">
        <w:rPr>
          <w:i/>
          <w:szCs w:val="22"/>
          <w:u w:val="single"/>
        </w:rPr>
        <w:t>Vaikų populiacija</w:t>
      </w:r>
    </w:p>
    <w:p w14:paraId="4C9F3A43" w14:textId="77777777" w:rsidR="00912BDF" w:rsidRPr="00A913BF" w:rsidRDefault="00912BDF" w:rsidP="00912BDF">
      <w:pPr>
        <w:rPr>
          <w:szCs w:val="22"/>
        </w:rPr>
      </w:pPr>
      <w:r w:rsidRPr="00A913BF">
        <w:rPr>
          <w:szCs w:val="22"/>
        </w:rPr>
        <w:t>Atlikti 2 vienos kandesartano dozės farmakokinetikos tyrimai hipertenzija sergančių vaikų nuo 1 iki &lt; 6 metų ir nuo 6 iki &lt; 17 metų organizme.</w:t>
      </w:r>
    </w:p>
    <w:p w14:paraId="138AEFF6" w14:textId="77777777" w:rsidR="00912BDF" w:rsidRPr="00A913BF" w:rsidRDefault="00912BDF" w:rsidP="00912BDF">
      <w:pPr>
        <w:rPr>
          <w:szCs w:val="22"/>
        </w:rPr>
      </w:pPr>
    </w:p>
    <w:p w14:paraId="54247F1E" w14:textId="77777777" w:rsidR="00912BDF" w:rsidRPr="00A913BF" w:rsidRDefault="00912BDF" w:rsidP="00912BDF">
      <w:pPr>
        <w:rPr>
          <w:szCs w:val="22"/>
        </w:rPr>
      </w:pPr>
      <w:r w:rsidRPr="00A913BF">
        <w:rPr>
          <w:szCs w:val="22"/>
        </w:rPr>
        <w:t>10 vaikų, kurių amžius buvo nuo 1 iki &lt; 6 metų, o svoris – nuo 10 iki &lt; 25 kg, išgėrė po vieną 0,2 mg/kg suspensijos dozę. C</w:t>
      </w:r>
      <w:r w:rsidRPr="00A913BF">
        <w:rPr>
          <w:szCs w:val="22"/>
          <w:vertAlign w:val="subscript"/>
        </w:rPr>
        <w:t>max</w:t>
      </w:r>
      <w:r w:rsidRPr="00A913BF">
        <w:rPr>
          <w:szCs w:val="22"/>
        </w:rPr>
        <w:t xml:space="preserve"> ir AUC koreliacijos su amžiumi ar svoriu nenustatyta. Klirensas netirtas, todėl galima koreliacija tarp jo ir svorio ar amžiaus šiai populiacijai nežinoma.</w:t>
      </w:r>
    </w:p>
    <w:p w14:paraId="172D7812" w14:textId="77777777" w:rsidR="00912BDF" w:rsidRPr="00A913BF" w:rsidRDefault="00912BDF" w:rsidP="00912BDF">
      <w:pPr>
        <w:rPr>
          <w:szCs w:val="22"/>
        </w:rPr>
      </w:pPr>
    </w:p>
    <w:p w14:paraId="4663F9AB" w14:textId="77777777" w:rsidR="00912BDF" w:rsidRPr="00A913BF" w:rsidRDefault="00912BDF" w:rsidP="00912BDF">
      <w:pPr>
        <w:rPr>
          <w:szCs w:val="22"/>
        </w:rPr>
      </w:pPr>
      <w:r w:rsidRPr="00A913BF">
        <w:rPr>
          <w:szCs w:val="22"/>
        </w:rPr>
        <w:t>22 vaikai, kurių amžius buvo nuo 6 iki &lt; 17 metų, išgėrė po vieną 16 mg tabletę. C</w:t>
      </w:r>
      <w:r w:rsidRPr="00A913BF">
        <w:rPr>
          <w:szCs w:val="22"/>
          <w:vertAlign w:val="subscript"/>
        </w:rPr>
        <w:t>max</w:t>
      </w:r>
      <w:r w:rsidRPr="00A913BF">
        <w:rPr>
          <w:szCs w:val="22"/>
        </w:rPr>
        <w:t xml:space="preserve"> ir AUC koreliacijos su amžiumi nenustatyta, tačiau nustatyta reikšminga svorio koreliacija su C</w:t>
      </w:r>
      <w:r w:rsidRPr="00A913BF">
        <w:rPr>
          <w:szCs w:val="22"/>
          <w:vertAlign w:val="subscript"/>
        </w:rPr>
        <w:t>max</w:t>
      </w:r>
      <w:r w:rsidRPr="00A913BF">
        <w:rPr>
          <w:szCs w:val="22"/>
        </w:rPr>
        <w:t xml:space="preserve"> (p = 0,012) ir AUC (p = 0,011). Klirensas netirtas, todėl galima koreliacija tarp jo ir svorio ar amžiaus šiai populiacijai nežinoma.</w:t>
      </w:r>
    </w:p>
    <w:p w14:paraId="046DF8A1" w14:textId="77777777" w:rsidR="00912BDF" w:rsidRPr="00A913BF" w:rsidRDefault="00912BDF" w:rsidP="00912BDF">
      <w:pPr>
        <w:rPr>
          <w:szCs w:val="22"/>
        </w:rPr>
      </w:pPr>
    </w:p>
    <w:p w14:paraId="09E7F45C" w14:textId="77777777" w:rsidR="00912BDF" w:rsidRPr="00A913BF" w:rsidRDefault="00912BDF" w:rsidP="00912BDF">
      <w:pPr>
        <w:rPr>
          <w:szCs w:val="22"/>
        </w:rPr>
      </w:pPr>
      <w:r w:rsidRPr="00A913BF">
        <w:rPr>
          <w:szCs w:val="22"/>
        </w:rPr>
        <w:t>Vyresnių kaip 6 metų vaikų ekspozicija buvo panaši kaip tokią pačią dozę vartojusių suaugusiųjų.</w:t>
      </w:r>
    </w:p>
    <w:p w14:paraId="229625EC" w14:textId="77777777" w:rsidR="00912BDF" w:rsidRPr="00A913BF" w:rsidRDefault="00912BDF" w:rsidP="00912BDF">
      <w:pPr>
        <w:rPr>
          <w:szCs w:val="22"/>
        </w:rPr>
      </w:pPr>
    </w:p>
    <w:p w14:paraId="7539808F" w14:textId="77777777" w:rsidR="00912BDF" w:rsidRPr="00A913BF" w:rsidRDefault="00912BDF" w:rsidP="00912BDF">
      <w:pPr>
        <w:rPr>
          <w:szCs w:val="22"/>
        </w:rPr>
      </w:pPr>
      <w:r w:rsidRPr="00A913BF">
        <w:rPr>
          <w:szCs w:val="22"/>
        </w:rPr>
        <w:t>Kandesartano cileksetilo farmakokinetika jaunesnių kaip &lt; 1 vaikų organizme netirta.</w:t>
      </w:r>
    </w:p>
    <w:p w14:paraId="3A05E623" w14:textId="77777777" w:rsidR="00912BDF" w:rsidRPr="00A913BF" w:rsidRDefault="00912BDF" w:rsidP="00912BDF">
      <w:pPr>
        <w:rPr>
          <w:szCs w:val="22"/>
        </w:rPr>
      </w:pPr>
    </w:p>
    <w:p w14:paraId="0F5A8DAE" w14:textId="77777777" w:rsidR="00912BDF" w:rsidRPr="00A913BF" w:rsidRDefault="00912BDF" w:rsidP="00912BDF">
      <w:pPr>
        <w:ind w:left="567" w:hanging="567"/>
        <w:rPr>
          <w:b/>
          <w:szCs w:val="22"/>
        </w:rPr>
      </w:pPr>
      <w:r w:rsidRPr="00A913BF">
        <w:rPr>
          <w:b/>
          <w:szCs w:val="22"/>
        </w:rPr>
        <w:t>5.3</w:t>
      </w:r>
      <w:r w:rsidRPr="00A913BF">
        <w:rPr>
          <w:b/>
          <w:szCs w:val="22"/>
        </w:rPr>
        <w:tab/>
        <w:t>Ikiklinikinių saugumo tyrimų duomenys</w:t>
      </w:r>
    </w:p>
    <w:p w14:paraId="1FFA1232" w14:textId="77777777" w:rsidR="00912BDF" w:rsidRPr="00A913BF" w:rsidRDefault="00912BDF" w:rsidP="00912BDF">
      <w:pPr>
        <w:ind w:left="567" w:hanging="567"/>
        <w:rPr>
          <w:szCs w:val="22"/>
        </w:rPr>
      </w:pPr>
    </w:p>
    <w:p w14:paraId="5798D4AA" w14:textId="77777777" w:rsidR="00912BDF" w:rsidRPr="00A913BF" w:rsidRDefault="00912BDF" w:rsidP="00912BDF">
      <w:pPr>
        <w:rPr>
          <w:szCs w:val="22"/>
        </w:rPr>
      </w:pPr>
      <w:r w:rsidRPr="00A913BF">
        <w:rPr>
          <w:szCs w:val="22"/>
        </w:rPr>
        <w:t>Duodant kandesartano klinikai svarbiomis dozėmis, nenormalaus sisteminio ar pažeidžiančio organus toksinio poveikio nenustatyta. Ikiklinikiniai saugumo tyrimai parodė didelių kandesartano dozių poveikį pelių, žiurkių, šunų ir beždžionių inkstams bei eritrocitų rodikliams (jų skaičiui, hemoglobinui ir hematokritui). Kandesartano sukelti inkstų pokyčiai (intersticinis nefritas, kanalėlių išsiplėtimas ir bazofilija; padidėjusi šlapalo ir kreatinino koncentracija plazmoje) gali būti kraujospūdį mažinančio poveikio, dėl kurio pablogėja inkstų kraujotaka, pasekmė. Be to, kandesartanas sukėlė inkstų jukstaglomerulinių ląstelių hiperplaziją ar hipertrofiją, kurios priežastimi laikytas jo farmakologinis poveikis. Manoma, kad gyvūnams rasta inkstų jukstaglomerulinių ląstelių hiperplazija ar hipertrofija žmonių gydymui terapinėmis dozėmis yra nereikšminga.</w:t>
      </w:r>
    </w:p>
    <w:p w14:paraId="1D23690F" w14:textId="77777777" w:rsidR="00912BDF" w:rsidRPr="00A913BF" w:rsidRDefault="00912BDF" w:rsidP="00912BDF">
      <w:pPr>
        <w:rPr>
          <w:szCs w:val="22"/>
        </w:rPr>
      </w:pPr>
    </w:p>
    <w:p w14:paraId="72821C1E" w14:textId="77777777" w:rsidR="00912BDF" w:rsidRPr="00A913BF" w:rsidRDefault="00912BDF" w:rsidP="00912BDF">
      <w:pPr>
        <w:rPr>
          <w:szCs w:val="22"/>
        </w:rPr>
      </w:pPr>
      <w:r w:rsidRPr="00A913BF">
        <w:rPr>
          <w:szCs w:val="22"/>
        </w:rPr>
        <w:t>Ikiklinikinių tyrimų metu kandesartanas sukėlė neseniai atsivestų žiurkių ir žiurkių jauniklių, turėjusių normalų kraujospūdį, kūno svorio ir širdies svorio sumažėjimą. Laikoma, kad šie pokyčiai priklauso nuo kandesartano farmakologinio poveikio (kaip ir suaugusiems gyvūnams). Mažiausios kandesartano dozės (10 mg/kg) sukelta ekspozicija buvo 12</w:t>
      </w:r>
      <w:r w:rsidRPr="00A913BF">
        <w:rPr>
          <w:szCs w:val="22"/>
        </w:rPr>
        <w:noBreakHyphen/>
        <w:t>78 kartus didesnė negu vaikams nuo 1 iki &lt; 6 metų, kurie vartojo 0,2 mg/kg kandesartano cileksetilo, ir 7</w:t>
      </w:r>
      <w:r w:rsidRPr="00A913BF">
        <w:rPr>
          <w:szCs w:val="22"/>
        </w:rPr>
        <w:noBreakHyphen/>
        <w:t>54 didesnė negu vaikams nuo 6 iki &lt; 17 metų, kurie vartojo 16 mg kandesartano cileksetilo. Pokyčių nesukelianti dozė šių tyrimų metu nenustatyta, todėl saugi riba poveikio širdies svoriui požiūriu ir šio pokyčio klinikinė reikšmė nežinoma.</w:t>
      </w:r>
    </w:p>
    <w:p w14:paraId="047DA988" w14:textId="77777777" w:rsidR="00912BDF" w:rsidRPr="00A913BF" w:rsidRDefault="00912BDF" w:rsidP="00912BDF">
      <w:pPr>
        <w:rPr>
          <w:szCs w:val="22"/>
        </w:rPr>
      </w:pPr>
    </w:p>
    <w:p w14:paraId="63DD78FB" w14:textId="77777777" w:rsidR="00912BDF" w:rsidRPr="00A913BF" w:rsidRDefault="00912BDF" w:rsidP="00912BDF">
      <w:pPr>
        <w:rPr>
          <w:szCs w:val="22"/>
        </w:rPr>
      </w:pPr>
      <w:r w:rsidRPr="00A913BF">
        <w:rPr>
          <w:szCs w:val="22"/>
        </w:rPr>
        <w:t>Pastebėtas vaikingumo laikotarpio pabaigoje duodamo kandesartano fetotoksinis poveikis (žr. 4.6 skyrių).</w:t>
      </w:r>
    </w:p>
    <w:p w14:paraId="42772653" w14:textId="77777777" w:rsidR="00912BDF" w:rsidRPr="00A913BF" w:rsidRDefault="00912BDF" w:rsidP="00912BDF">
      <w:pPr>
        <w:rPr>
          <w:szCs w:val="22"/>
        </w:rPr>
      </w:pPr>
    </w:p>
    <w:p w14:paraId="700622A1" w14:textId="77777777" w:rsidR="00912BDF" w:rsidRPr="00A913BF" w:rsidRDefault="00912BDF" w:rsidP="00912BDF">
      <w:pPr>
        <w:rPr>
          <w:szCs w:val="22"/>
        </w:rPr>
      </w:pPr>
      <w:r w:rsidRPr="00A913BF">
        <w:rPr>
          <w:i/>
          <w:szCs w:val="22"/>
        </w:rPr>
        <w:t>In vitro</w:t>
      </w:r>
      <w:r w:rsidRPr="00A913BF">
        <w:rPr>
          <w:szCs w:val="22"/>
        </w:rPr>
        <w:t xml:space="preserve"> ir </w:t>
      </w:r>
      <w:r w:rsidRPr="00A913BF">
        <w:rPr>
          <w:i/>
          <w:szCs w:val="22"/>
        </w:rPr>
        <w:t>in vivo</w:t>
      </w:r>
      <w:r w:rsidRPr="00A913BF">
        <w:rPr>
          <w:szCs w:val="22"/>
        </w:rPr>
        <w:t xml:space="preserve"> atliktų mutageniškumo mėginių duomenimis, mutageninio ar klastogeninio poveikio žmogui kandesartanas neturėtų sukelti.</w:t>
      </w:r>
    </w:p>
    <w:p w14:paraId="366B6A95" w14:textId="77777777" w:rsidR="00912BDF" w:rsidRPr="00A913BF" w:rsidRDefault="00912BDF" w:rsidP="00912BDF">
      <w:pPr>
        <w:rPr>
          <w:szCs w:val="22"/>
        </w:rPr>
      </w:pPr>
    </w:p>
    <w:p w14:paraId="51E4A5C7" w14:textId="77777777" w:rsidR="00912BDF" w:rsidRPr="00A913BF" w:rsidRDefault="00912BDF" w:rsidP="00912BDF">
      <w:pPr>
        <w:rPr>
          <w:szCs w:val="22"/>
        </w:rPr>
      </w:pPr>
      <w:r w:rsidRPr="00A913BF">
        <w:rPr>
          <w:szCs w:val="22"/>
        </w:rPr>
        <w:t>Kancerogeninį poveikį rodančių duomenų negauta.</w:t>
      </w:r>
    </w:p>
    <w:p w14:paraId="4BB8A05B" w14:textId="77777777" w:rsidR="00912BDF" w:rsidRPr="00A913BF" w:rsidRDefault="00912BDF" w:rsidP="00912BDF">
      <w:pPr>
        <w:ind w:left="567" w:hanging="567"/>
        <w:rPr>
          <w:szCs w:val="22"/>
        </w:rPr>
      </w:pPr>
    </w:p>
    <w:p w14:paraId="04EC8D77" w14:textId="77777777" w:rsidR="00912BDF" w:rsidRPr="00A913BF" w:rsidRDefault="00912BDF" w:rsidP="00912BDF">
      <w:pPr>
        <w:rPr>
          <w:szCs w:val="22"/>
        </w:rPr>
      </w:pPr>
      <w:r w:rsidRPr="00A913BF">
        <w:rPr>
          <w:szCs w:val="22"/>
        </w:rPr>
        <w:t>Renino, angiotenzino ir aldosterono sistema turi kritinę reikšmę inkstų vystymuisi gimdoje. Nustatyta, kad užblokavus renino, angiotenzino ir aldosterono sistemą, nenormaliai vystosi labai jaunų pelių inkstai. Renino, angiotenzino ir  aldosterono sistemą tiesiogiai veikiantys vaistiniai preparatai gali sutrikdyti normalų inkstų vystymąsi, todėl jaunesniems kaip 1 metų vaikams Atacand vartoti negalima (žr. 4.3 skyrių).</w:t>
      </w:r>
    </w:p>
    <w:p w14:paraId="01FBCFDF" w14:textId="77777777" w:rsidR="00912BDF" w:rsidRPr="00A913BF" w:rsidRDefault="00912BDF" w:rsidP="00912BDF">
      <w:pPr>
        <w:rPr>
          <w:szCs w:val="22"/>
        </w:rPr>
      </w:pPr>
    </w:p>
    <w:p w14:paraId="346255FC" w14:textId="77777777" w:rsidR="00912BDF" w:rsidRPr="00A913BF" w:rsidRDefault="00912BDF" w:rsidP="00912BDF">
      <w:pPr>
        <w:ind w:left="567" w:hanging="567"/>
        <w:rPr>
          <w:szCs w:val="22"/>
        </w:rPr>
      </w:pPr>
    </w:p>
    <w:p w14:paraId="3B897253" w14:textId="77777777" w:rsidR="00912BDF" w:rsidRPr="00A913BF" w:rsidRDefault="00912BDF" w:rsidP="00912BDF">
      <w:pPr>
        <w:ind w:left="567" w:hanging="567"/>
        <w:rPr>
          <w:b/>
          <w:caps/>
          <w:szCs w:val="22"/>
        </w:rPr>
      </w:pPr>
      <w:r w:rsidRPr="00A913BF">
        <w:rPr>
          <w:b/>
          <w:caps/>
          <w:szCs w:val="22"/>
        </w:rPr>
        <w:t>6.</w:t>
      </w:r>
      <w:r w:rsidRPr="00A913BF">
        <w:rPr>
          <w:b/>
          <w:caps/>
          <w:szCs w:val="22"/>
        </w:rPr>
        <w:tab/>
        <w:t>farmacinė informacija</w:t>
      </w:r>
    </w:p>
    <w:p w14:paraId="22F3B977" w14:textId="77777777" w:rsidR="00912BDF" w:rsidRPr="00A913BF" w:rsidRDefault="00912BDF" w:rsidP="00912BDF">
      <w:pPr>
        <w:ind w:left="567" w:hanging="567"/>
        <w:rPr>
          <w:szCs w:val="22"/>
        </w:rPr>
      </w:pPr>
    </w:p>
    <w:p w14:paraId="7B1EBF80" w14:textId="77777777" w:rsidR="00912BDF" w:rsidRPr="00A913BF" w:rsidRDefault="00912BDF" w:rsidP="00912BDF">
      <w:pPr>
        <w:ind w:left="567" w:hanging="567"/>
        <w:rPr>
          <w:b/>
          <w:szCs w:val="22"/>
        </w:rPr>
      </w:pPr>
      <w:r w:rsidRPr="00A913BF">
        <w:rPr>
          <w:b/>
          <w:szCs w:val="22"/>
        </w:rPr>
        <w:t>6.1</w:t>
      </w:r>
      <w:r w:rsidRPr="00A913BF">
        <w:rPr>
          <w:b/>
          <w:szCs w:val="22"/>
        </w:rPr>
        <w:tab/>
        <w:t>Pagalbinių medžiagų sąrašas</w:t>
      </w:r>
    </w:p>
    <w:p w14:paraId="65A59752" w14:textId="77777777" w:rsidR="00912BDF" w:rsidRPr="00A913BF" w:rsidRDefault="00912BDF" w:rsidP="00912BDF">
      <w:pPr>
        <w:rPr>
          <w:szCs w:val="22"/>
        </w:rPr>
      </w:pPr>
    </w:p>
    <w:p w14:paraId="1CAB0E84" w14:textId="77777777" w:rsidR="00912BDF" w:rsidRPr="00A913BF" w:rsidRDefault="00912BDF" w:rsidP="00912BDF">
      <w:pPr>
        <w:autoSpaceDE w:val="0"/>
        <w:autoSpaceDN w:val="0"/>
        <w:adjustRightInd w:val="0"/>
        <w:rPr>
          <w:szCs w:val="22"/>
          <w:lang w:eastAsia="lt-LT"/>
        </w:rPr>
      </w:pPr>
      <w:r w:rsidRPr="00A913BF">
        <w:rPr>
          <w:szCs w:val="22"/>
          <w:lang w:eastAsia="lt-LT"/>
        </w:rPr>
        <w:t>Karmeliozės kalcio druska</w:t>
      </w:r>
    </w:p>
    <w:p w14:paraId="69589CBE" w14:textId="77777777" w:rsidR="00912BDF" w:rsidRPr="00A913BF" w:rsidRDefault="00912BDF" w:rsidP="00912BDF">
      <w:pPr>
        <w:autoSpaceDE w:val="0"/>
        <w:autoSpaceDN w:val="0"/>
        <w:adjustRightInd w:val="0"/>
        <w:rPr>
          <w:szCs w:val="22"/>
          <w:lang w:eastAsia="lt-LT"/>
        </w:rPr>
      </w:pPr>
      <w:r w:rsidRPr="00A913BF">
        <w:rPr>
          <w:szCs w:val="22"/>
          <w:lang w:eastAsia="lt-LT"/>
        </w:rPr>
        <w:t>Hidroksipropilceliuliozė</w:t>
      </w:r>
    </w:p>
    <w:p w14:paraId="0782071C" w14:textId="77777777" w:rsidR="00912BDF" w:rsidRPr="00A913BF" w:rsidRDefault="00912BDF" w:rsidP="00912BDF">
      <w:pPr>
        <w:autoSpaceDE w:val="0"/>
        <w:autoSpaceDN w:val="0"/>
        <w:adjustRightInd w:val="0"/>
        <w:rPr>
          <w:szCs w:val="22"/>
          <w:lang w:eastAsia="lt-LT"/>
        </w:rPr>
      </w:pPr>
      <w:r w:rsidRPr="00A913BF">
        <w:rPr>
          <w:szCs w:val="22"/>
          <w:lang w:eastAsia="lt-LT"/>
        </w:rPr>
        <w:t xml:space="preserve">Geležies oksidas </w:t>
      </w:r>
      <w:r w:rsidRPr="00A913BF">
        <w:rPr>
          <w:color w:val="1F497D"/>
          <w:szCs w:val="22"/>
        </w:rPr>
        <w:t xml:space="preserve"> </w:t>
      </w:r>
      <w:r w:rsidRPr="00A913BF">
        <w:rPr>
          <w:color w:val="403152"/>
          <w:szCs w:val="22"/>
        </w:rPr>
        <w:t>CI 77491 (</w:t>
      </w:r>
      <w:r w:rsidRPr="00A913BF">
        <w:rPr>
          <w:szCs w:val="22"/>
          <w:lang w:eastAsia="lt-LT"/>
        </w:rPr>
        <w:t>E172) (tik 8 mg, 16 mg ir 32 mg tabletėse)</w:t>
      </w:r>
    </w:p>
    <w:p w14:paraId="225767BC" w14:textId="77777777" w:rsidR="00912BDF" w:rsidRPr="00A913BF" w:rsidRDefault="00912BDF" w:rsidP="00912BDF">
      <w:pPr>
        <w:autoSpaceDE w:val="0"/>
        <w:autoSpaceDN w:val="0"/>
        <w:adjustRightInd w:val="0"/>
        <w:rPr>
          <w:szCs w:val="22"/>
          <w:lang w:eastAsia="lt-LT"/>
        </w:rPr>
      </w:pPr>
      <w:r w:rsidRPr="00A913BF">
        <w:rPr>
          <w:szCs w:val="22"/>
          <w:lang w:eastAsia="lt-LT"/>
        </w:rPr>
        <w:t>Laktozė monohidratas</w:t>
      </w:r>
    </w:p>
    <w:p w14:paraId="0E33515F" w14:textId="77777777" w:rsidR="00912BDF" w:rsidRPr="00A913BF" w:rsidRDefault="00912BDF" w:rsidP="00912BDF">
      <w:pPr>
        <w:autoSpaceDE w:val="0"/>
        <w:autoSpaceDN w:val="0"/>
        <w:adjustRightInd w:val="0"/>
        <w:rPr>
          <w:szCs w:val="22"/>
          <w:lang w:eastAsia="lt-LT"/>
        </w:rPr>
      </w:pPr>
      <w:r w:rsidRPr="00A913BF">
        <w:rPr>
          <w:szCs w:val="22"/>
          <w:lang w:eastAsia="lt-LT"/>
        </w:rPr>
        <w:t>Magnio stearatas</w:t>
      </w:r>
    </w:p>
    <w:p w14:paraId="61C55438" w14:textId="77777777" w:rsidR="00912BDF" w:rsidRPr="00A913BF" w:rsidRDefault="00912BDF" w:rsidP="00912BDF">
      <w:pPr>
        <w:autoSpaceDE w:val="0"/>
        <w:autoSpaceDN w:val="0"/>
        <w:adjustRightInd w:val="0"/>
        <w:rPr>
          <w:szCs w:val="22"/>
          <w:lang w:eastAsia="lt-LT"/>
        </w:rPr>
      </w:pPr>
      <w:r w:rsidRPr="00A913BF">
        <w:rPr>
          <w:szCs w:val="22"/>
          <w:lang w:eastAsia="lt-LT"/>
        </w:rPr>
        <w:t>Kukurūzų krakmolas</w:t>
      </w:r>
    </w:p>
    <w:p w14:paraId="6A3CD6B6" w14:textId="77777777" w:rsidR="00912BDF" w:rsidRPr="00A913BF" w:rsidRDefault="00912BDF" w:rsidP="00912BDF">
      <w:pPr>
        <w:rPr>
          <w:szCs w:val="22"/>
        </w:rPr>
      </w:pPr>
      <w:r w:rsidRPr="00A913BF">
        <w:rPr>
          <w:szCs w:val="22"/>
          <w:lang w:eastAsia="lt-LT"/>
        </w:rPr>
        <w:t>Makrogolis</w:t>
      </w:r>
    </w:p>
    <w:p w14:paraId="3B05F350" w14:textId="77777777" w:rsidR="00912BDF" w:rsidRPr="00A913BF" w:rsidRDefault="00912BDF" w:rsidP="00912BDF">
      <w:pPr>
        <w:ind w:left="567" w:hanging="567"/>
        <w:rPr>
          <w:szCs w:val="22"/>
        </w:rPr>
      </w:pPr>
    </w:p>
    <w:p w14:paraId="6E540CD1" w14:textId="77777777" w:rsidR="00912BDF" w:rsidRPr="00A913BF" w:rsidRDefault="00912BDF" w:rsidP="00912BDF">
      <w:pPr>
        <w:ind w:left="567" w:hanging="567"/>
        <w:rPr>
          <w:b/>
          <w:szCs w:val="22"/>
        </w:rPr>
      </w:pPr>
      <w:r w:rsidRPr="00A913BF">
        <w:rPr>
          <w:b/>
          <w:szCs w:val="22"/>
        </w:rPr>
        <w:t>6.2</w:t>
      </w:r>
      <w:r w:rsidRPr="00A913BF">
        <w:rPr>
          <w:b/>
          <w:szCs w:val="22"/>
        </w:rPr>
        <w:tab/>
        <w:t>Nesuderinamumas</w:t>
      </w:r>
    </w:p>
    <w:p w14:paraId="297C9614" w14:textId="77777777" w:rsidR="00912BDF" w:rsidRPr="00A913BF" w:rsidRDefault="00912BDF" w:rsidP="00912BDF">
      <w:pPr>
        <w:ind w:left="567" w:hanging="567"/>
        <w:rPr>
          <w:szCs w:val="22"/>
        </w:rPr>
      </w:pPr>
    </w:p>
    <w:p w14:paraId="2B964353" w14:textId="77777777" w:rsidR="00912BDF" w:rsidRPr="00A913BF" w:rsidRDefault="00912BDF" w:rsidP="00912BDF">
      <w:pPr>
        <w:ind w:left="567" w:hanging="567"/>
        <w:rPr>
          <w:szCs w:val="22"/>
          <w:lang w:eastAsia="lt-LT"/>
        </w:rPr>
      </w:pPr>
      <w:r w:rsidRPr="00A913BF">
        <w:rPr>
          <w:szCs w:val="22"/>
          <w:lang w:eastAsia="lt-LT"/>
        </w:rPr>
        <w:t>Duomenys nebūtini</w:t>
      </w:r>
    </w:p>
    <w:p w14:paraId="3EA19A9F" w14:textId="77777777" w:rsidR="00912BDF" w:rsidRPr="00A913BF" w:rsidRDefault="00912BDF" w:rsidP="00912BDF">
      <w:pPr>
        <w:ind w:left="567" w:hanging="567"/>
        <w:rPr>
          <w:szCs w:val="22"/>
        </w:rPr>
      </w:pPr>
    </w:p>
    <w:p w14:paraId="58B5ACF0" w14:textId="77777777" w:rsidR="00912BDF" w:rsidRPr="00A913BF" w:rsidRDefault="00912BDF" w:rsidP="00912BDF">
      <w:pPr>
        <w:ind w:left="567" w:hanging="567"/>
        <w:rPr>
          <w:b/>
          <w:szCs w:val="22"/>
        </w:rPr>
      </w:pPr>
      <w:r w:rsidRPr="00A913BF">
        <w:rPr>
          <w:b/>
          <w:szCs w:val="22"/>
        </w:rPr>
        <w:t>6.3</w:t>
      </w:r>
      <w:r w:rsidRPr="00A913BF">
        <w:rPr>
          <w:b/>
          <w:szCs w:val="22"/>
        </w:rPr>
        <w:tab/>
        <w:t>Tinkamumo laikas</w:t>
      </w:r>
    </w:p>
    <w:p w14:paraId="4CB85199" w14:textId="77777777" w:rsidR="00912BDF" w:rsidRPr="00A913BF" w:rsidRDefault="00912BDF" w:rsidP="00912BDF">
      <w:pPr>
        <w:ind w:left="567" w:hanging="567"/>
        <w:rPr>
          <w:szCs w:val="22"/>
        </w:rPr>
      </w:pPr>
    </w:p>
    <w:p w14:paraId="561F2F53" w14:textId="77777777" w:rsidR="00912BDF" w:rsidRPr="00A913BF" w:rsidRDefault="00912BDF" w:rsidP="00912BDF">
      <w:pPr>
        <w:rPr>
          <w:szCs w:val="22"/>
        </w:rPr>
      </w:pPr>
      <w:r w:rsidRPr="00A913BF">
        <w:rPr>
          <w:szCs w:val="22"/>
          <w:lang w:eastAsia="lt-LT"/>
        </w:rPr>
        <w:t>3 metai</w:t>
      </w:r>
    </w:p>
    <w:p w14:paraId="05676DB4" w14:textId="77777777" w:rsidR="00912BDF" w:rsidRPr="00A913BF" w:rsidRDefault="00912BDF" w:rsidP="00912BDF">
      <w:pPr>
        <w:ind w:left="567" w:hanging="567"/>
        <w:rPr>
          <w:szCs w:val="22"/>
        </w:rPr>
      </w:pPr>
    </w:p>
    <w:p w14:paraId="6BE8511A" w14:textId="77777777" w:rsidR="00912BDF" w:rsidRPr="00A913BF" w:rsidRDefault="00912BDF" w:rsidP="00912BDF">
      <w:pPr>
        <w:ind w:left="567" w:hanging="567"/>
        <w:rPr>
          <w:b/>
          <w:szCs w:val="22"/>
        </w:rPr>
      </w:pPr>
      <w:r w:rsidRPr="00A913BF">
        <w:rPr>
          <w:b/>
          <w:szCs w:val="22"/>
        </w:rPr>
        <w:t>6.4</w:t>
      </w:r>
      <w:r w:rsidRPr="00A913BF">
        <w:rPr>
          <w:b/>
          <w:szCs w:val="22"/>
        </w:rPr>
        <w:tab/>
        <w:t>Specialios laikymo sąlygos</w:t>
      </w:r>
    </w:p>
    <w:p w14:paraId="4A7C53EC" w14:textId="77777777" w:rsidR="00912BDF" w:rsidRPr="00A913BF" w:rsidRDefault="00912BDF" w:rsidP="00912BDF">
      <w:pPr>
        <w:ind w:left="567" w:hanging="567"/>
        <w:rPr>
          <w:szCs w:val="22"/>
        </w:rPr>
      </w:pPr>
    </w:p>
    <w:p w14:paraId="1EAC59C8" w14:textId="77777777" w:rsidR="00912BDF" w:rsidRPr="00A913BF" w:rsidRDefault="00912BDF" w:rsidP="00912BDF">
      <w:pPr>
        <w:rPr>
          <w:szCs w:val="22"/>
        </w:rPr>
      </w:pPr>
      <w:r w:rsidRPr="00A913BF">
        <w:rPr>
          <w:rFonts w:eastAsia="SimSun"/>
          <w:szCs w:val="22"/>
          <w:lang w:eastAsia="zh-CN"/>
        </w:rPr>
        <w:t>Šio vaistinio preparato laikymui specialių temperatūros sąlygų nereikalaujama</w:t>
      </w:r>
      <w:r w:rsidRPr="00A913BF">
        <w:rPr>
          <w:szCs w:val="22"/>
        </w:rPr>
        <w:t>.</w:t>
      </w:r>
    </w:p>
    <w:p w14:paraId="54FD075A" w14:textId="77777777" w:rsidR="00912BDF" w:rsidRPr="00A913BF" w:rsidRDefault="00912BDF" w:rsidP="00912BDF">
      <w:pPr>
        <w:rPr>
          <w:szCs w:val="22"/>
        </w:rPr>
      </w:pPr>
    </w:p>
    <w:p w14:paraId="0A0FDC4B" w14:textId="77777777" w:rsidR="00912BDF" w:rsidRPr="00A913BF" w:rsidRDefault="00912BDF" w:rsidP="00912BDF">
      <w:pPr>
        <w:ind w:left="567" w:hanging="567"/>
        <w:rPr>
          <w:b/>
          <w:szCs w:val="22"/>
        </w:rPr>
      </w:pPr>
      <w:r w:rsidRPr="00A913BF">
        <w:rPr>
          <w:b/>
          <w:szCs w:val="22"/>
        </w:rPr>
        <w:t>6.5</w:t>
      </w:r>
      <w:r w:rsidRPr="00A913BF">
        <w:rPr>
          <w:b/>
          <w:szCs w:val="22"/>
        </w:rPr>
        <w:tab/>
      </w:r>
      <w:r w:rsidRPr="00A913BF">
        <w:rPr>
          <w:b/>
          <w:bCs/>
          <w:szCs w:val="22"/>
        </w:rPr>
        <w:t>Talpyklės pobūdis ir jos</w:t>
      </w:r>
      <w:r w:rsidRPr="00A913BF">
        <w:rPr>
          <w:szCs w:val="22"/>
        </w:rPr>
        <w:t xml:space="preserve"> </w:t>
      </w:r>
      <w:r w:rsidRPr="00A913BF">
        <w:rPr>
          <w:b/>
          <w:szCs w:val="22"/>
        </w:rPr>
        <w:t>turinys</w:t>
      </w:r>
    </w:p>
    <w:p w14:paraId="1D82DF7F" w14:textId="77777777" w:rsidR="00912BDF" w:rsidRPr="00A913BF" w:rsidRDefault="00912BDF" w:rsidP="00912BDF">
      <w:pPr>
        <w:ind w:left="567" w:hanging="567"/>
        <w:rPr>
          <w:szCs w:val="22"/>
        </w:rPr>
      </w:pPr>
    </w:p>
    <w:p w14:paraId="40C4D218" w14:textId="77777777" w:rsidR="00912BDF" w:rsidRPr="00A913BF" w:rsidRDefault="00912BDF" w:rsidP="00912BDF">
      <w:pPr>
        <w:rPr>
          <w:szCs w:val="22"/>
        </w:rPr>
      </w:pPr>
      <w:r w:rsidRPr="00A913BF">
        <w:rPr>
          <w:szCs w:val="22"/>
          <w:lang w:eastAsia="lt-LT"/>
        </w:rPr>
        <w:t xml:space="preserve">PVC/PVDC </w:t>
      </w:r>
      <w:r w:rsidRPr="00A913BF">
        <w:rPr>
          <w:szCs w:val="22"/>
        </w:rPr>
        <w:t>lizdinių plokštelių pakuotės po 7, 14, 15, 15x1 (vienadozių), 20, 28, 30, 30x1 (vienadozių), 50, 50x1 (vienadozių), 56, 90, 98, 98x1 (vienadozės), 100 ar 300 tablečių.</w:t>
      </w:r>
    </w:p>
    <w:p w14:paraId="59BCBD15" w14:textId="77777777" w:rsidR="00912BDF" w:rsidRPr="00A913BF" w:rsidRDefault="00912BDF" w:rsidP="00912BDF">
      <w:pPr>
        <w:ind w:left="567" w:hanging="567"/>
        <w:rPr>
          <w:szCs w:val="22"/>
        </w:rPr>
      </w:pPr>
    </w:p>
    <w:p w14:paraId="38AEAAB7" w14:textId="77777777" w:rsidR="00912BDF" w:rsidRPr="00A913BF" w:rsidRDefault="00912BDF" w:rsidP="00912BDF">
      <w:pPr>
        <w:ind w:left="567" w:hanging="567"/>
        <w:rPr>
          <w:szCs w:val="22"/>
        </w:rPr>
      </w:pPr>
      <w:r w:rsidRPr="00A913BF">
        <w:rPr>
          <w:szCs w:val="22"/>
        </w:rPr>
        <w:t>DTPE buteliukai po 100 ar 250 tablečių.</w:t>
      </w:r>
    </w:p>
    <w:p w14:paraId="1FD81163" w14:textId="77777777" w:rsidR="00912BDF" w:rsidRPr="00A913BF" w:rsidRDefault="00912BDF" w:rsidP="00912BDF">
      <w:pPr>
        <w:ind w:left="567" w:hanging="567"/>
        <w:rPr>
          <w:szCs w:val="22"/>
        </w:rPr>
      </w:pPr>
    </w:p>
    <w:p w14:paraId="3F1FD3D0" w14:textId="77777777" w:rsidR="00912BDF" w:rsidRPr="00A913BF" w:rsidRDefault="00912BDF" w:rsidP="00912BDF">
      <w:pPr>
        <w:ind w:left="567" w:hanging="567"/>
        <w:rPr>
          <w:szCs w:val="22"/>
          <w:lang w:eastAsia="lt-LT"/>
        </w:rPr>
      </w:pPr>
      <w:r w:rsidRPr="00A913BF">
        <w:rPr>
          <w:szCs w:val="22"/>
        </w:rPr>
        <w:t>Gali būti tiekiamos ne visų dydžių pakuotės.</w:t>
      </w:r>
    </w:p>
    <w:p w14:paraId="430DAC07" w14:textId="77777777" w:rsidR="00912BDF" w:rsidRPr="00A913BF" w:rsidRDefault="00912BDF" w:rsidP="00912BDF">
      <w:pPr>
        <w:ind w:left="567" w:hanging="567"/>
        <w:rPr>
          <w:szCs w:val="22"/>
        </w:rPr>
      </w:pPr>
    </w:p>
    <w:p w14:paraId="7E8D5DBC" w14:textId="77777777" w:rsidR="00912BDF" w:rsidRPr="00A913BF" w:rsidRDefault="00912BDF" w:rsidP="00912BDF">
      <w:pPr>
        <w:ind w:left="567" w:hanging="567"/>
        <w:outlineLvl w:val="0"/>
        <w:rPr>
          <w:szCs w:val="22"/>
        </w:rPr>
      </w:pPr>
      <w:r w:rsidRPr="00A913BF">
        <w:rPr>
          <w:b/>
          <w:szCs w:val="22"/>
        </w:rPr>
        <w:t>6.6</w:t>
      </w:r>
      <w:r w:rsidRPr="00A913BF">
        <w:rPr>
          <w:b/>
          <w:szCs w:val="22"/>
        </w:rPr>
        <w:tab/>
      </w:r>
      <w:r w:rsidRPr="00A913BF">
        <w:rPr>
          <w:rStyle w:val="Grietas"/>
          <w:color w:val="000000"/>
          <w:szCs w:val="22"/>
        </w:rPr>
        <w:t xml:space="preserve">Specialūs reikalavimai atliekoms tvarkyti </w:t>
      </w:r>
    </w:p>
    <w:p w14:paraId="1051E34B" w14:textId="77777777" w:rsidR="00912BDF" w:rsidRPr="00A913BF" w:rsidRDefault="00912BDF" w:rsidP="00912BDF">
      <w:pPr>
        <w:ind w:left="567" w:hanging="567"/>
        <w:rPr>
          <w:szCs w:val="22"/>
        </w:rPr>
      </w:pPr>
    </w:p>
    <w:p w14:paraId="30898099" w14:textId="77777777" w:rsidR="00912BDF" w:rsidRPr="00A913BF" w:rsidRDefault="00912BDF" w:rsidP="00912BDF">
      <w:pPr>
        <w:rPr>
          <w:szCs w:val="22"/>
        </w:rPr>
      </w:pPr>
      <w:r w:rsidRPr="00A913BF">
        <w:rPr>
          <w:szCs w:val="22"/>
        </w:rPr>
        <w:t>Specialių reikalavimų nėra.</w:t>
      </w:r>
    </w:p>
    <w:p w14:paraId="26174AF2" w14:textId="77777777" w:rsidR="00912BDF" w:rsidRPr="00A913BF" w:rsidRDefault="00912BDF" w:rsidP="00912BDF">
      <w:pPr>
        <w:ind w:left="567" w:hanging="567"/>
        <w:rPr>
          <w:szCs w:val="22"/>
        </w:rPr>
      </w:pPr>
    </w:p>
    <w:p w14:paraId="66A2E5D3" w14:textId="77777777" w:rsidR="00912BDF" w:rsidRPr="00A913BF" w:rsidRDefault="00912BDF" w:rsidP="00912BDF">
      <w:pPr>
        <w:ind w:left="567" w:hanging="567"/>
        <w:rPr>
          <w:szCs w:val="22"/>
        </w:rPr>
      </w:pPr>
    </w:p>
    <w:p w14:paraId="1257CD89" w14:textId="77777777" w:rsidR="00912BDF" w:rsidRPr="00A913BF" w:rsidRDefault="00912BDF" w:rsidP="00912BDF">
      <w:pPr>
        <w:ind w:left="567" w:hanging="567"/>
        <w:rPr>
          <w:b/>
          <w:caps/>
          <w:szCs w:val="22"/>
        </w:rPr>
      </w:pPr>
      <w:r w:rsidRPr="00A913BF">
        <w:rPr>
          <w:b/>
          <w:caps/>
          <w:szCs w:val="22"/>
        </w:rPr>
        <w:t>7.</w:t>
      </w:r>
      <w:r w:rsidRPr="00A913BF">
        <w:rPr>
          <w:b/>
          <w:caps/>
          <w:szCs w:val="22"/>
        </w:rPr>
        <w:tab/>
        <w:t>R</w:t>
      </w:r>
      <w:r>
        <w:rPr>
          <w:b/>
          <w:caps/>
          <w:szCs w:val="22"/>
        </w:rPr>
        <w:t>egistruotojas</w:t>
      </w:r>
    </w:p>
    <w:p w14:paraId="4D74BA3D" w14:textId="77777777" w:rsidR="00912BDF" w:rsidRPr="00A913BF" w:rsidRDefault="00912BDF" w:rsidP="00912BDF">
      <w:pPr>
        <w:rPr>
          <w:szCs w:val="22"/>
        </w:rPr>
      </w:pPr>
    </w:p>
    <w:p w14:paraId="6EEDF729" w14:textId="1744C750" w:rsidR="00150E2A" w:rsidRDefault="00150E2A" w:rsidP="00150E2A">
      <w:pPr>
        <w:rPr>
          <w:szCs w:val="22"/>
        </w:rPr>
      </w:pPr>
      <w:r w:rsidRPr="003422CA">
        <w:rPr>
          <w:szCs w:val="22"/>
        </w:rPr>
        <w:t>CHEPLAPHARM Arzneimittel GmbH</w:t>
      </w:r>
      <w:r>
        <w:rPr>
          <w:szCs w:val="22"/>
        </w:rPr>
        <w:t xml:space="preserve"> </w:t>
      </w:r>
    </w:p>
    <w:p w14:paraId="17A92791" w14:textId="232B35AE" w:rsidR="00150E2A" w:rsidRDefault="00150E2A" w:rsidP="00150E2A">
      <w:pPr>
        <w:rPr>
          <w:szCs w:val="22"/>
        </w:rPr>
      </w:pPr>
      <w:r w:rsidRPr="003422CA">
        <w:rPr>
          <w:szCs w:val="22"/>
        </w:rPr>
        <w:t>Ziegelhof 24</w:t>
      </w:r>
      <w:r>
        <w:rPr>
          <w:szCs w:val="22"/>
        </w:rPr>
        <w:t xml:space="preserve"> </w:t>
      </w:r>
    </w:p>
    <w:p w14:paraId="4D017354" w14:textId="2C9D7AD0" w:rsidR="00150E2A" w:rsidRDefault="00150E2A" w:rsidP="00150E2A">
      <w:pPr>
        <w:rPr>
          <w:szCs w:val="22"/>
        </w:rPr>
      </w:pPr>
      <w:r w:rsidRPr="003422CA">
        <w:rPr>
          <w:szCs w:val="22"/>
        </w:rPr>
        <w:t>17489 Greifswald</w:t>
      </w:r>
      <w:r>
        <w:rPr>
          <w:szCs w:val="22"/>
        </w:rPr>
        <w:t xml:space="preserve"> </w:t>
      </w:r>
    </w:p>
    <w:p w14:paraId="1B08197A" w14:textId="4EAC8F47" w:rsidR="00150E2A" w:rsidRDefault="00150E2A" w:rsidP="00150E2A">
      <w:pPr>
        <w:rPr>
          <w:szCs w:val="22"/>
        </w:rPr>
      </w:pPr>
      <w:r w:rsidRPr="003422CA">
        <w:rPr>
          <w:szCs w:val="22"/>
        </w:rPr>
        <w:t>Vokietija</w:t>
      </w:r>
    </w:p>
    <w:p w14:paraId="72C41CA6" w14:textId="77777777" w:rsidR="00912BDF" w:rsidRPr="00A913BF" w:rsidRDefault="00912BDF" w:rsidP="00912BDF">
      <w:pPr>
        <w:ind w:left="567" w:hanging="567"/>
        <w:rPr>
          <w:szCs w:val="22"/>
        </w:rPr>
      </w:pPr>
    </w:p>
    <w:p w14:paraId="688BFFD8" w14:textId="77777777" w:rsidR="00912BDF" w:rsidRPr="00A913BF" w:rsidRDefault="00912BDF" w:rsidP="00912BDF">
      <w:pPr>
        <w:ind w:left="567" w:hanging="567"/>
        <w:rPr>
          <w:szCs w:val="22"/>
        </w:rPr>
      </w:pPr>
    </w:p>
    <w:p w14:paraId="5DE2DEE7" w14:textId="77777777" w:rsidR="00912BDF" w:rsidRPr="00A913BF" w:rsidRDefault="00912BDF" w:rsidP="00912BDF">
      <w:pPr>
        <w:ind w:left="567" w:hanging="567"/>
        <w:rPr>
          <w:b/>
          <w:caps/>
          <w:szCs w:val="22"/>
        </w:rPr>
      </w:pPr>
      <w:r w:rsidRPr="00A913BF">
        <w:rPr>
          <w:b/>
          <w:caps/>
          <w:szCs w:val="22"/>
        </w:rPr>
        <w:t>8.</w:t>
      </w:r>
      <w:r w:rsidRPr="00A913BF">
        <w:rPr>
          <w:b/>
          <w:caps/>
          <w:szCs w:val="22"/>
        </w:rPr>
        <w:tab/>
        <w:t>R</w:t>
      </w:r>
      <w:r>
        <w:rPr>
          <w:b/>
          <w:caps/>
          <w:szCs w:val="22"/>
        </w:rPr>
        <w:t>egistracijos</w:t>
      </w:r>
      <w:r w:rsidRPr="00A913BF">
        <w:rPr>
          <w:b/>
          <w:caps/>
          <w:szCs w:val="22"/>
        </w:rPr>
        <w:t xml:space="preserve"> Pažymėjimo numeris </w:t>
      </w:r>
    </w:p>
    <w:p w14:paraId="638E3129" w14:textId="77777777" w:rsidR="00912BDF" w:rsidRPr="00A913BF" w:rsidRDefault="00912BDF" w:rsidP="00912BDF">
      <w:pPr>
        <w:rPr>
          <w:i/>
          <w:szCs w:val="22"/>
        </w:rPr>
      </w:pPr>
    </w:p>
    <w:p w14:paraId="6100EBA7" w14:textId="77777777" w:rsidR="00912BDF" w:rsidRPr="00A913BF" w:rsidRDefault="00912BDF" w:rsidP="00912BDF">
      <w:pPr>
        <w:autoSpaceDE w:val="0"/>
        <w:autoSpaceDN w:val="0"/>
        <w:adjustRightInd w:val="0"/>
        <w:rPr>
          <w:szCs w:val="22"/>
          <w:u w:val="single"/>
          <w:lang w:eastAsia="lt-LT"/>
        </w:rPr>
      </w:pPr>
      <w:r w:rsidRPr="00A913BF">
        <w:rPr>
          <w:szCs w:val="22"/>
          <w:u w:val="single"/>
          <w:lang w:eastAsia="lt-LT"/>
        </w:rPr>
        <w:t xml:space="preserve">Atacand 4 mg tabletės  </w:t>
      </w:r>
    </w:p>
    <w:p w14:paraId="7B5D45DF" w14:textId="77777777" w:rsidR="00912BDF" w:rsidRPr="00A913BF" w:rsidRDefault="00912BDF" w:rsidP="00912BDF">
      <w:pPr>
        <w:autoSpaceDE w:val="0"/>
        <w:autoSpaceDN w:val="0"/>
        <w:adjustRightInd w:val="0"/>
        <w:rPr>
          <w:szCs w:val="22"/>
          <w:lang w:eastAsia="lt-LT"/>
        </w:rPr>
      </w:pPr>
      <w:r w:rsidRPr="00A913BF">
        <w:rPr>
          <w:szCs w:val="22"/>
          <w:lang w:eastAsia="lt-LT"/>
        </w:rPr>
        <w:t>LT/1/99/0689/001 – lizdinė plokštelė, N28</w:t>
      </w:r>
    </w:p>
    <w:p w14:paraId="444E84E8" w14:textId="77777777" w:rsidR="00912BDF" w:rsidRPr="00A913BF" w:rsidRDefault="00912BDF" w:rsidP="00912BDF">
      <w:pPr>
        <w:rPr>
          <w:bCs/>
          <w:szCs w:val="22"/>
        </w:rPr>
      </w:pPr>
      <w:r w:rsidRPr="00A913BF">
        <w:rPr>
          <w:bCs/>
          <w:szCs w:val="22"/>
        </w:rPr>
        <w:t>LT/1/99/0689/005 – lizdinė plokštelė kalendorinė, N7</w:t>
      </w:r>
    </w:p>
    <w:p w14:paraId="134D8CBA" w14:textId="77777777" w:rsidR="00912BDF" w:rsidRPr="00A913BF" w:rsidRDefault="00912BDF" w:rsidP="00912BDF">
      <w:pPr>
        <w:rPr>
          <w:bCs/>
          <w:szCs w:val="22"/>
        </w:rPr>
      </w:pPr>
      <w:r w:rsidRPr="00A913BF">
        <w:rPr>
          <w:bCs/>
          <w:szCs w:val="22"/>
        </w:rPr>
        <w:t>LT/1/99/0689/006 – kalendorinė lizdinė plokštelė, N14</w:t>
      </w:r>
    </w:p>
    <w:p w14:paraId="211C8A3F" w14:textId="77777777" w:rsidR="00912BDF" w:rsidRPr="00A913BF" w:rsidRDefault="00912BDF" w:rsidP="00912BDF">
      <w:pPr>
        <w:rPr>
          <w:bCs/>
          <w:szCs w:val="22"/>
        </w:rPr>
      </w:pPr>
      <w:r w:rsidRPr="00A913BF">
        <w:rPr>
          <w:bCs/>
          <w:szCs w:val="22"/>
        </w:rPr>
        <w:t>LT/1/99/0689/007 – kalendorinė lizdinė plokštelė, N28</w:t>
      </w:r>
    </w:p>
    <w:p w14:paraId="5EF06216" w14:textId="77777777" w:rsidR="00912BDF" w:rsidRPr="00A913BF" w:rsidRDefault="00912BDF" w:rsidP="00912BDF">
      <w:pPr>
        <w:rPr>
          <w:bCs/>
          <w:szCs w:val="22"/>
        </w:rPr>
      </w:pPr>
      <w:r w:rsidRPr="00A913BF">
        <w:rPr>
          <w:bCs/>
          <w:szCs w:val="22"/>
        </w:rPr>
        <w:t>LT/1/99/0689/008 – kalendorinė lizdinė plokštelė, N56</w:t>
      </w:r>
    </w:p>
    <w:p w14:paraId="46EFBF9B" w14:textId="77777777" w:rsidR="00912BDF" w:rsidRPr="00A913BF" w:rsidRDefault="00912BDF" w:rsidP="00912BDF">
      <w:pPr>
        <w:autoSpaceDE w:val="0"/>
        <w:autoSpaceDN w:val="0"/>
        <w:adjustRightInd w:val="0"/>
        <w:rPr>
          <w:szCs w:val="22"/>
          <w:lang w:eastAsia="lt-LT"/>
        </w:rPr>
      </w:pPr>
      <w:r w:rsidRPr="00A913BF">
        <w:rPr>
          <w:bCs/>
          <w:szCs w:val="22"/>
        </w:rPr>
        <w:t>LT/1/99/0689/009 – kalendorinė lizdinė plokštelė, N98</w:t>
      </w:r>
    </w:p>
    <w:p w14:paraId="76968070" w14:textId="77777777" w:rsidR="00912BDF" w:rsidRPr="00A913BF" w:rsidRDefault="00912BDF" w:rsidP="00912BDF">
      <w:pPr>
        <w:autoSpaceDE w:val="0"/>
        <w:autoSpaceDN w:val="0"/>
        <w:adjustRightInd w:val="0"/>
        <w:rPr>
          <w:szCs w:val="22"/>
        </w:rPr>
      </w:pPr>
      <w:r w:rsidRPr="00A913BF">
        <w:rPr>
          <w:szCs w:val="22"/>
        </w:rPr>
        <w:t>LT/1/99/0689/025 - lizdinė plokštelė, N15</w:t>
      </w:r>
    </w:p>
    <w:p w14:paraId="06CA2E72" w14:textId="77777777" w:rsidR="00912BDF" w:rsidRPr="00A913BF" w:rsidRDefault="00912BDF" w:rsidP="00912BDF">
      <w:pPr>
        <w:autoSpaceDE w:val="0"/>
        <w:autoSpaceDN w:val="0"/>
        <w:adjustRightInd w:val="0"/>
        <w:rPr>
          <w:szCs w:val="22"/>
        </w:rPr>
      </w:pPr>
      <w:r w:rsidRPr="00A913BF">
        <w:rPr>
          <w:szCs w:val="22"/>
        </w:rPr>
        <w:t>LT/1/99/0689/026 - vienadozė lizdinė plokštelė, N15x1</w:t>
      </w:r>
    </w:p>
    <w:p w14:paraId="1564724E" w14:textId="77777777" w:rsidR="00912BDF" w:rsidRPr="00A913BF" w:rsidRDefault="00912BDF" w:rsidP="00912BDF">
      <w:pPr>
        <w:autoSpaceDE w:val="0"/>
        <w:autoSpaceDN w:val="0"/>
        <w:adjustRightInd w:val="0"/>
        <w:rPr>
          <w:szCs w:val="22"/>
        </w:rPr>
      </w:pPr>
      <w:r w:rsidRPr="00A913BF">
        <w:rPr>
          <w:szCs w:val="22"/>
        </w:rPr>
        <w:t>LT/1/99/0689/027 - lizdinė plokštelė, N20</w:t>
      </w:r>
    </w:p>
    <w:p w14:paraId="4981D83A" w14:textId="77777777" w:rsidR="00912BDF" w:rsidRPr="00A913BF" w:rsidRDefault="00912BDF" w:rsidP="00912BDF">
      <w:pPr>
        <w:autoSpaceDE w:val="0"/>
        <w:autoSpaceDN w:val="0"/>
        <w:adjustRightInd w:val="0"/>
        <w:rPr>
          <w:szCs w:val="22"/>
        </w:rPr>
      </w:pPr>
      <w:r w:rsidRPr="00A913BF">
        <w:rPr>
          <w:szCs w:val="22"/>
        </w:rPr>
        <w:t>LT/1/99/0689/028 - lizdinė plokštelė, N30</w:t>
      </w:r>
    </w:p>
    <w:p w14:paraId="15510443" w14:textId="77777777" w:rsidR="00912BDF" w:rsidRPr="00A913BF" w:rsidRDefault="00912BDF" w:rsidP="00912BDF">
      <w:pPr>
        <w:autoSpaceDE w:val="0"/>
        <w:autoSpaceDN w:val="0"/>
        <w:adjustRightInd w:val="0"/>
        <w:rPr>
          <w:szCs w:val="22"/>
        </w:rPr>
      </w:pPr>
      <w:r w:rsidRPr="00A913BF">
        <w:rPr>
          <w:szCs w:val="22"/>
        </w:rPr>
        <w:t>LT/1/99/0689/029 - vienadozė lizdinė plokštelė, N30x1</w:t>
      </w:r>
    </w:p>
    <w:p w14:paraId="601D33FD" w14:textId="77777777" w:rsidR="00912BDF" w:rsidRPr="00A913BF" w:rsidRDefault="00912BDF" w:rsidP="00912BDF">
      <w:pPr>
        <w:autoSpaceDE w:val="0"/>
        <w:autoSpaceDN w:val="0"/>
        <w:adjustRightInd w:val="0"/>
        <w:rPr>
          <w:szCs w:val="22"/>
        </w:rPr>
      </w:pPr>
      <w:r w:rsidRPr="00A913BF">
        <w:rPr>
          <w:szCs w:val="22"/>
        </w:rPr>
        <w:t>LT/1/99/0689/030 - lizdinė plokštelė, N50</w:t>
      </w:r>
    </w:p>
    <w:p w14:paraId="5B604CD9" w14:textId="77777777" w:rsidR="00912BDF" w:rsidRPr="00A913BF" w:rsidRDefault="00912BDF" w:rsidP="00912BDF">
      <w:pPr>
        <w:autoSpaceDE w:val="0"/>
        <w:autoSpaceDN w:val="0"/>
        <w:adjustRightInd w:val="0"/>
        <w:rPr>
          <w:szCs w:val="22"/>
        </w:rPr>
      </w:pPr>
      <w:r w:rsidRPr="00A913BF">
        <w:rPr>
          <w:szCs w:val="22"/>
        </w:rPr>
        <w:t>LT/1/99/0689/031 - vienadozė lizdinė plokštelė, N50x1</w:t>
      </w:r>
    </w:p>
    <w:p w14:paraId="1870F5CE" w14:textId="77777777" w:rsidR="00912BDF" w:rsidRPr="00A913BF" w:rsidRDefault="00912BDF" w:rsidP="00912BDF">
      <w:pPr>
        <w:autoSpaceDE w:val="0"/>
        <w:autoSpaceDN w:val="0"/>
        <w:adjustRightInd w:val="0"/>
        <w:rPr>
          <w:szCs w:val="22"/>
        </w:rPr>
      </w:pPr>
      <w:r w:rsidRPr="00A913BF">
        <w:rPr>
          <w:szCs w:val="22"/>
        </w:rPr>
        <w:t>LT/1/99/0689/073 - lizdinė plokštelė, N90</w:t>
      </w:r>
    </w:p>
    <w:p w14:paraId="40929290" w14:textId="77777777" w:rsidR="00912BDF" w:rsidRPr="00A913BF" w:rsidRDefault="00912BDF" w:rsidP="00912BDF">
      <w:pPr>
        <w:autoSpaceDE w:val="0"/>
        <w:autoSpaceDN w:val="0"/>
        <w:adjustRightInd w:val="0"/>
        <w:rPr>
          <w:szCs w:val="22"/>
        </w:rPr>
      </w:pPr>
      <w:r w:rsidRPr="00A913BF">
        <w:rPr>
          <w:szCs w:val="22"/>
        </w:rPr>
        <w:t>LT/1/99/0689/032 - vienadozė lizdinė plokštelė, N98x1</w:t>
      </w:r>
    </w:p>
    <w:p w14:paraId="520D7707" w14:textId="77777777" w:rsidR="00912BDF" w:rsidRPr="00A913BF" w:rsidRDefault="00912BDF" w:rsidP="00912BDF">
      <w:pPr>
        <w:autoSpaceDE w:val="0"/>
        <w:autoSpaceDN w:val="0"/>
        <w:adjustRightInd w:val="0"/>
        <w:rPr>
          <w:szCs w:val="22"/>
        </w:rPr>
      </w:pPr>
      <w:r w:rsidRPr="00A913BF">
        <w:rPr>
          <w:szCs w:val="22"/>
        </w:rPr>
        <w:t>LT/1/99/0689/033 - lizdinė plokštelė, N100</w:t>
      </w:r>
    </w:p>
    <w:p w14:paraId="699C23C7" w14:textId="77777777" w:rsidR="00912BDF" w:rsidRPr="00A913BF" w:rsidRDefault="00912BDF" w:rsidP="00912BDF">
      <w:pPr>
        <w:autoSpaceDE w:val="0"/>
        <w:autoSpaceDN w:val="0"/>
        <w:adjustRightInd w:val="0"/>
        <w:rPr>
          <w:szCs w:val="22"/>
        </w:rPr>
      </w:pPr>
      <w:r w:rsidRPr="00A913BF">
        <w:rPr>
          <w:szCs w:val="22"/>
        </w:rPr>
        <w:t>LT/1/99/0689/034 - lizdinė plokštelė, N300</w:t>
      </w:r>
    </w:p>
    <w:p w14:paraId="26157A23" w14:textId="77777777" w:rsidR="00912BDF" w:rsidRPr="00A913BF" w:rsidRDefault="00912BDF" w:rsidP="00912BDF">
      <w:pPr>
        <w:autoSpaceDE w:val="0"/>
        <w:autoSpaceDN w:val="0"/>
        <w:adjustRightInd w:val="0"/>
        <w:rPr>
          <w:szCs w:val="22"/>
        </w:rPr>
      </w:pPr>
      <w:r w:rsidRPr="00A913BF">
        <w:rPr>
          <w:szCs w:val="22"/>
        </w:rPr>
        <w:t>LT/1/99/0689/035 - buteliukas, N100</w:t>
      </w:r>
    </w:p>
    <w:p w14:paraId="20FB5953" w14:textId="77777777" w:rsidR="00912BDF" w:rsidRPr="00A913BF" w:rsidRDefault="00912BDF" w:rsidP="00912BDF">
      <w:pPr>
        <w:autoSpaceDE w:val="0"/>
        <w:autoSpaceDN w:val="0"/>
        <w:adjustRightInd w:val="0"/>
        <w:rPr>
          <w:szCs w:val="22"/>
        </w:rPr>
      </w:pPr>
      <w:r w:rsidRPr="00A913BF">
        <w:rPr>
          <w:szCs w:val="22"/>
        </w:rPr>
        <w:t>LT/1/99/0689/036 - buteliukas, N250</w:t>
      </w:r>
    </w:p>
    <w:p w14:paraId="659E7900" w14:textId="77777777" w:rsidR="00912BDF" w:rsidRPr="00A913BF" w:rsidRDefault="00912BDF" w:rsidP="00912BDF">
      <w:pPr>
        <w:autoSpaceDE w:val="0"/>
        <w:autoSpaceDN w:val="0"/>
        <w:adjustRightInd w:val="0"/>
        <w:rPr>
          <w:szCs w:val="22"/>
          <w:lang w:eastAsia="lt-LT"/>
        </w:rPr>
      </w:pPr>
    </w:p>
    <w:p w14:paraId="0B94E984" w14:textId="77777777" w:rsidR="00912BDF" w:rsidRPr="00A913BF" w:rsidRDefault="00912BDF" w:rsidP="00912BDF">
      <w:pPr>
        <w:autoSpaceDE w:val="0"/>
        <w:autoSpaceDN w:val="0"/>
        <w:adjustRightInd w:val="0"/>
        <w:rPr>
          <w:szCs w:val="22"/>
          <w:u w:val="single"/>
          <w:lang w:eastAsia="lt-LT"/>
        </w:rPr>
      </w:pPr>
      <w:r w:rsidRPr="00A913BF">
        <w:rPr>
          <w:szCs w:val="22"/>
          <w:u w:val="single"/>
          <w:lang w:eastAsia="lt-LT"/>
        </w:rPr>
        <w:t>Atacand 8 mg tabletės</w:t>
      </w:r>
    </w:p>
    <w:p w14:paraId="6ACF31BC" w14:textId="77777777" w:rsidR="00912BDF" w:rsidRPr="00A913BF" w:rsidRDefault="00912BDF" w:rsidP="00912BDF">
      <w:pPr>
        <w:autoSpaceDE w:val="0"/>
        <w:autoSpaceDN w:val="0"/>
        <w:adjustRightInd w:val="0"/>
        <w:rPr>
          <w:szCs w:val="22"/>
          <w:lang w:eastAsia="lt-LT"/>
        </w:rPr>
      </w:pPr>
      <w:r w:rsidRPr="00A913BF">
        <w:rPr>
          <w:szCs w:val="22"/>
          <w:lang w:eastAsia="lt-LT"/>
        </w:rPr>
        <w:t>LT/1/99/0689/002 – lizdinė plokštelė, N28</w:t>
      </w:r>
    </w:p>
    <w:p w14:paraId="29B3EFC3" w14:textId="77777777" w:rsidR="00912BDF" w:rsidRPr="00A913BF" w:rsidRDefault="00912BDF" w:rsidP="00912BDF">
      <w:pPr>
        <w:rPr>
          <w:bCs/>
          <w:szCs w:val="22"/>
        </w:rPr>
      </w:pPr>
      <w:r w:rsidRPr="00A913BF">
        <w:rPr>
          <w:bCs/>
          <w:szCs w:val="22"/>
        </w:rPr>
        <w:t>LT/1/99/0689/010 – kalendorinė lizdinė plokštelė, N7</w:t>
      </w:r>
    </w:p>
    <w:p w14:paraId="7701C60E" w14:textId="77777777" w:rsidR="00912BDF" w:rsidRPr="00A913BF" w:rsidRDefault="00912BDF" w:rsidP="00912BDF">
      <w:pPr>
        <w:rPr>
          <w:bCs/>
          <w:szCs w:val="22"/>
        </w:rPr>
      </w:pPr>
      <w:r w:rsidRPr="00A913BF">
        <w:rPr>
          <w:bCs/>
          <w:szCs w:val="22"/>
        </w:rPr>
        <w:t>LT/1/99/0689/011 – kalendorinė lizdinė plokštelė, N14</w:t>
      </w:r>
    </w:p>
    <w:p w14:paraId="1A180C76" w14:textId="77777777" w:rsidR="00912BDF" w:rsidRPr="00A913BF" w:rsidRDefault="00912BDF" w:rsidP="00912BDF">
      <w:pPr>
        <w:rPr>
          <w:bCs/>
          <w:szCs w:val="22"/>
        </w:rPr>
      </w:pPr>
      <w:r w:rsidRPr="00A913BF">
        <w:rPr>
          <w:bCs/>
          <w:szCs w:val="22"/>
        </w:rPr>
        <w:t>LT/1/99/0689/012 – kalendorinė lizdinė plokštelė, N28</w:t>
      </w:r>
    </w:p>
    <w:p w14:paraId="27A2CAA2" w14:textId="77777777" w:rsidR="00912BDF" w:rsidRPr="00A913BF" w:rsidRDefault="00912BDF" w:rsidP="00912BDF">
      <w:pPr>
        <w:rPr>
          <w:bCs/>
          <w:szCs w:val="22"/>
        </w:rPr>
      </w:pPr>
      <w:r w:rsidRPr="00A913BF">
        <w:rPr>
          <w:bCs/>
          <w:szCs w:val="22"/>
        </w:rPr>
        <w:t>LT/1/99/0689/013 – kalendorinė lizdinė plokštelė, N56</w:t>
      </w:r>
    </w:p>
    <w:p w14:paraId="2B44726F" w14:textId="77777777" w:rsidR="00912BDF" w:rsidRPr="00A913BF" w:rsidRDefault="00912BDF" w:rsidP="00912BDF">
      <w:pPr>
        <w:rPr>
          <w:bCs/>
          <w:szCs w:val="22"/>
        </w:rPr>
      </w:pPr>
      <w:r w:rsidRPr="00A913BF">
        <w:rPr>
          <w:bCs/>
          <w:szCs w:val="22"/>
        </w:rPr>
        <w:t>LT/1/99/0689/014 – kalendorinė lizdinė plokštelė, N98</w:t>
      </w:r>
    </w:p>
    <w:p w14:paraId="7BE6CE08" w14:textId="77777777" w:rsidR="00912BDF" w:rsidRPr="00A913BF" w:rsidRDefault="00912BDF" w:rsidP="00912BDF">
      <w:pPr>
        <w:autoSpaceDE w:val="0"/>
        <w:autoSpaceDN w:val="0"/>
        <w:adjustRightInd w:val="0"/>
        <w:rPr>
          <w:szCs w:val="22"/>
        </w:rPr>
      </w:pPr>
      <w:r w:rsidRPr="00A913BF">
        <w:rPr>
          <w:szCs w:val="22"/>
        </w:rPr>
        <w:t>LT/1/99/0689/037 - lizdinė plokštelė, N15</w:t>
      </w:r>
    </w:p>
    <w:p w14:paraId="607B1492" w14:textId="77777777" w:rsidR="00912BDF" w:rsidRPr="00A913BF" w:rsidRDefault="00912BDF" w:rsidP="00912BDF">
      <w:pPr>
        <w:autoSpaceDE w:val="0"/>
        <w:autoSpaceDN w:val="0"/>
        <w:adjustRightInd w:val="0"/>
        <w:rPr>
          <w:szCs w:val="22"/>
        </w:rPr>
      </w:pPr>
      <w:r w:rsidRPr="00A913BF">
        <w:rPr>
          <w:szCs w:val="22"/>
        </w:rPr>
        <w:t>LT/1/99/0689/038 - vienadozė lizdinė plokštelė, N15x1</w:t>
      </w:r>
    </w:p>
    <w:p w14:paraId="6CD1150E" w14:textId="77777777" w:rsidR="00912BDF" w:rsidRPr="00A913BF" w:rsidRDefault="00912BDF" w:rsidP="00912BDF">
      <w:pPr>
        <w:autoSpaceDE w:val="0"/>
        <w:autoSpaceDN w:val="0"/>
        <w:adjustRightInd w:val="0"/>
        <w:rPr>
          <w:szCs w:val="22"/>
        </w:rPr>
      </w:pPr>
      <w:r w:rsidRPr="00A913BF">
        <w:rPr>
          <w:szCs w:val="22"/>
        </w:rPr>
        <w:t>LT/1/99/0689/039 - lizdinė plokštelė, N20</w:t>
      </w:r>
    </w:p>
    <w:p w14:paraId="2C21A922" w14:textId="77777777" w:rsidR="00912BDF" w:rsidRPr="00A913BF" w:rsidRDefault="00912BDF" w:rsidP="00912BDF">
      <w:pPr>
        <w:autoSpaceDE w:val="0"/>
        <w:autoSpaceDN w:val="0"/>
        <w:adjustRightInd w:val="0"/>
        <w:rPr>
          <w:szCs w:val="22"/>
        </w:rPr>
      </w:pPr>
      <w:r w:rsidRPr="00A913BF">
        <w:rPr>
          <w:szCs w:val="22"/>
        </w:rPr>
        <w:t>LT/1/99/0689/040 - lizdinė plokštelė, N30</w:t>
      </w:r>
    </w:p>
    <w:p w14:paraId="22623852" w14:textId="77777777" w:rsidR="00912BDF" w:rsidRPr="00A913BF" w:rsidRDefault="00912BDF" w:rsidP="00912BDF">
      <w:pPr>
        <w:autoSpaceDE w:val="0"/>
        <w:autoSpaceDN w:val="0"/>
        <w:adjustRightInd w:val="0"/>
        <w:rPr>
          <w:szCs w:val="22"/>
        </w:rPr>
      </w:pPr>
      <w:r w:rsidRPr="00A913BF">
        <w:rPr>
          <w:szCs w:val="22"/>
        </w:rPr>
        <w:t>LT/1/99/0689/041 - vienadozė lizdinė plokštelė, N30x1</w:t>
      </w:r>
    </w:p>
    <w:p w14:paraId="2D1779C2" w14:textId="77777777" w:rsidR="00912BDF" w:rsidRPr="00A913BF" w:rsidRDefault="00912BDF" w:rsidP="00912BDF">
      <w:pPr>
        <w:autoSpaceDE w:val="0"/>
        <w:autoSpaceDN w:val="0"/>
        <w:adjustRightInd w:val="0"/>
        <w:rPr>
          <w:szCs w:val="22"/>
        </w:rPr>
      </w:pPr>
      <w:r w:rsidRPr="00A913BF">
        <w:rPr>
          <w:szCs w:val="22"/>
        </w:rPr>
        <w:t>LT/1/99/0689/042 - lizdinė plokštelė, N50</w:t>
      </w:r>
    </w:p>
    <w:p w14:paraId="78A6C464" w14:textId="77777777" w:rsidR="00912BDF" w:rsidRPr="00A913BF" w:rsidRDefault="00912BDF" w:rsidP="00912BDF">
      <w:pPr>
        <w:autoSpaceDE w:val="0"/>
        <w:autoSpaceDN w:val="0"/>
        <w:adjustRightInd w:val="0"/>
        <w:rPr>
          <w:szCs w:val="22"/>
        </w:rPr>
      </w:pPr>
      <w:r w:rsidRPr="00A913BF">
        <w:rPr>
          <w:szCs w:val="22"/>
        </w:rPr>
        <w:t>LT/1/99/0689/043 - vienadozė lizdinė plokštelė, N50x1</w:t>
      </w:r>
    </w:p>
    <w:p w14:paraId="30C92405" w14:textId="77777777" w:rsidR="00912BDF" w:rsidRPr="00A913BF" w:rsidRDefault="00912BDF" w:rsidP="00912BDF">
      <w:pPr>
        <w:autoSpaceDE w:val="0"/>
        <w:autoSpaceDN w:val="0"/>
        <w:adjustRightInd w:val="0"/>
        <w:rPr>
          <w:szCs w:val="22"/>
        </w:rPr>
      </w:pPr>
      <w:r w:rsidRPr="00A913BF">
        <w:rPr>
          <w:szCs w:val="22"/>
        </w:rPr>
        <w:t>LT/1/99/0689/074 - lizdinė plokštelė, N90</w:t>
      </w:r>
    </w:p>
    <w:p w14:paraId="2F7798AD" w14:textId="77777777" w:rsidR="00912BDF" w:rsidRPr="00A913BF" w:rsidRDefault="00912BDF" w:rsidP="00912BDF">
      <w:pPr>
        <w:autoSpaceDE w:val="0"/>
        <w:autoSpaceDN w:val="0"/>
        <w:adjustRightInd w:val="0"/>
        <w:rPr>
          <w:szCs w:val="22"/>
        </w:rPr>
      </w:pPr>
      <w:r w:rsidRPr="00A913BF">
        <w:rPr>
          <w:szCs w:val="22"/>
        </w:rPr>
        <w:t>LT/1/99/0689/044 - vienadozė lizdinė plokštelė, N98x1</w:t>
      </w:r>
    </w:p>
    <w:p w14:paraId="1A28FBEB" w14:textId="77777777" w:rsidR="00912BDF" w:rsidRPr="00A913BF" w:rsidRDefault="00912BDF" w:rsidP="00912BDF">
      <w:pPr>
        <w:autoSpaceDE w:val="0"/>
        <w:autoSpaceDN w:val="0"/>
        <w:adjustRightInd w:val="0"/>
        <w:rPr>
          <w:szCs w:val="22"/>
        </w:rPr>
      </w:pPr>
      <w:r w:rsidRPr="00A913BF">
        <w:rPr>
          <w:szCs w:val="22"/>
        </w:rPr>
        <w:t>LT/1/99/0689/045 - lizdinė plokštelė, N100</w:t>
      </w:r>
    </w:p>
    <w:p w14:paraId="31551C65" w14:textId="77777777" w:rsidR="00912BDF" w:rsidRPr="00A913BF" w:rsidRDefault="00912BDF" w:rsidP="00912BDF">
      <w:pPr>
        <w:autoSpaceDE w:val="0"/>
        <w:autoSpaceDN w:val="0"/>
        <w:adjustRightInd w:val="0"/>
        <w:rPr>
          <w:szCs w:val="22"/>
        </w:rPr>
      </w:pPr>
      <w:r w:rsidRPr="00A913BF">
        <w:rPr>
          <w:szCs w:val="22"/>
        </w:rPr>
        <w:t>LT/1/99/0689/046 - lizdinė plokštelė, N300</w:t>
      </w:r>
    </w:p>
    <w:p w14:paraId="292F271C" w14:textId="77777777" w:rsidR="00912BDF" w:rsidRPr="00A913BF" w:rsidRDefault="00912BDF" w:rsidP="00912BDF">
      <w:pPr>
        <w:autoSpaceDE w:val="0"/>
        <w:autoSpaceDN w:val="0"/>
        <w:adjustRightInd w:val="0"/>
        <w:rPr>
          <w:szCs w:val="22"/>
        </w:rPr>
      </w:pPr>
      <w:r w:rsidRPr="00A913BF">
        <w:rPr>
          <w:szCs w:val="22"/>
        </w:rPr>
        <w:t>LT/1/99/0689/047 - buteliukas, N100</w:t>
      </w:r>
    </w:p>
    <w:p w14:paraId="10FC1D8A" w14:textId="77777777" w:rsidR="00912BDF" w:rsidRPr="00A913BF" w:rsidRDefault="00912BDF" w:rsidP="00912BDF">
      <w:pPr>
        <w:autoSpaceDE w:val="0"/>
        <w:autoSpaceDN w:val="0"/>
        <w:adjustRightInd w:val="0"/>
        <w:rPr>
          <w:szCs w:val="22"/>
        </w:rPr>
      </w:pPr>
      <w:r w:rsidRPr="00A913BF">
        <w:rPr>
          <w:szCs w:val="22"/>
        </w:rPr>
        <w:t>LT/1/99/0689/048 - buteliukas, N250</w:t>
      </w:r>
    </w:p>
    <w:p w14:paraId="3305EBBC" w14:textId="77777777" w:rsidR="00912BDF" w:rsidRPr="00A913BF" w:rsidRDefault="00912BDF" w:rsidP="00912BDF">
      <w:pPr>
        <w:autoSpaceDE w:val="0"/>
        <w:autoSpaceDN w:val="0"/>
        <w:adjustRightInd w:val="0"/>
        <w:rPr>
          <w:szCs w:val="22"/>
          <w:lang w:eastAsia="lt-LT"/>
        </w:rPr>
      </w:pPr>
    </w:p>
    <w:p w14:paraId="05315268" w14:textId="77777777" w:rsidR="00912BDF" w:rsidRPr="00A913BF" w:rsidRDefault="00912BDF" w:rsidP="00912BDF">
      <w:pPr>
        <w:autoSpaceDE w:val="0"/>
        <w:autoSpaceDN w:val="0"/>
        <w:adjustRightInd w:val="0"/>
        <w:rPr>
          <w:szCs w:val="22"/>
          <w:u w:val="single"/>
          <w:lang w:eastAsia="lt-LT"/>
        </w:rPr>
      </w:pPr>
      <w:r w:rsidRPr="00A913BF">
        <w:rPr>
          <w:szCs w:val="22"/>
          <w:u w:val="single"/>
          <w:lang w:eastAsia="lt-LT"/>
        </w:rPr>
        <w:t>Atacand 16 mg tabletės</w:t>
      </w:r>
    </w:p>
    <w:p w14:paraId="503321B8" w14:textId="77777777" w:rsidR="00912BDF" w:rsidRPr="00A913BF" w:rsidRDefault="00912BDF" w:rsidP="00912BDF">
      <w:pPr>
        <w:autoSpaceDE w:val="0"/>
        <w:autoSpaceDN w:val="0"/>
        <w:adjustRightInd w:val="0"/>
        <w:rPr>
          <w:szCs w:val="22"/>
          <w:lang w:eastAsia="lt-LT"/>
        </w:rPr>
      </w:pPr>
      <w:r w:rsidRPr="00A913BF">
        <w:rPr>
          <w:szCs w:val="22"/>
          <w:lang w:eastAsia="lt-LT"/>
        </w:rPr>
        <w:t>LT/1/99/0689/003 – lizdinė plokštelė, N28</w:t>
      </w:r>
    </w:p>
    <w:p w14:paraId="54A163B0" w14:textId="77777777" w:rsidR="00912BDF" w:rsidRPr="00A913BF" w:rsidRDefault="00912BDF" w:rsidP="00912BDF">
      <w:pPr>
        <w:rPr>
          <w:bCs/>
          <w:szCs w:val="22"/>
        </w:rPr>
      </w:pPr>
      <w:r w:rsidRPr="00A913BF">
        <w:rPr>
          <w:bCs/>
          <w:szCs w:val="22"/>
        </w:rPr>
        <w:t>LT/1/99/0689/015 – kalendorinė lizdinė plokštelė, N7</w:t>
      </w:r>
    </w:p>
    <w:p w14:paraId="4E7A3A97" w14:textId="77777777" w:rsidR="00912BDF" w:rsidRPr="00A913BF" w:rsidRDefault="00912BDF" w:rsidP="00912BDF">
      <w:pPr>
        <w:rPr>
          <w:bCs/>
          <w:szCs w:val="22"/>
        </w:rPr>
      </w:pPr>
      <w:r w:rsidRPr="00A913BF">
        <w:rPr>
          <w:bCs/>
          <w:szCs w:val="22"/>
        </w:rPr>
        <w:t>LT/1/99/0689/016 – kalendorinė lizdinė plokštelė, N14</w:t>
      </w:r>
    </w:p>
    <w:p w14:paraId="4226A306" w14:textId="77777777" w:rsidR="00912BDF" w:rsidRPr="00A913BF" w:rsidRDefault="00912BDF" w:rsidP="00912BDF">
      <w:pPr>
        <w:rPr>
          <w:bCs/>
          <w:szCs w:val="22"/>
        </w:rPr>
      </w:pPr>
      <w:r w:rsidRPr="00A913BF">
        <w:rPr>
          <w:bCs/>
          <w:szCs w:val="22"/>
        </w:rPr>
        <w:t>LT/1/99/0689/017 – kalendorinė lizdinė plokštelė, N28</w:t>
      </w:r>
    </w:p>
    <w:p w14:paraId="5F48F3CC" w14:textId="77777777" w:rsidR="00912BDF" w:rsidRPr="00A913BF" w:rsidRDefault="00912BDF" w:rsidP="00912BDF">
      <w:pPr>
        <w:rPr>
          <w:bCs/>
          <w:szCs w:val="22"/>
        </w:rPr>
      </w:pPr>
      <w:r w:rsidRPr="00A913BF">
        <w:rPr>
          <w:bCs/>
          <w:szCs w:val="22"/>
        </w:rPr>
        <w:t>LT/1/99/0689/018 – kalendorinė lizdinė plokštelė, N56</w:t>
      </w:r>
    </w:p>
    <w:p w14:paraId="0CBDB20D" w14:textId="77777777" w:rsidR="00912BDF" w:rsidRPr="00A913BF" w:rsidRDefault="00912BDF" w:rsidP="00912BDF">
      <w:pPr>
        <w:rPr>
          <w:bCs/>
          <w:szCs w:val="22"/>
        </w:rPr>
      </w:pPr>
      <w:r w:rsidRPr="00A913BF">
        <w:rPr>
          <w:bCs/>
          <w:szCs w:val="22"/>
        </w:rPr>
        <w:t>LT/1/99/0689/019 – kalendorinė lizdinė plokštelė, N98</w:t>
      </w:r>
    </w:p>
    <w:p w14:paraId="64646780" w14:textId="77777777" w:rsidR="00912BDF" w:rsidRPr="00A913BF" w:rsidRDefault="00912BDF" w:rsidP="00912BDF">
      <w:pPr>
        <w:autoSpaceDE w:val="0"/>
        <w:autoSpaceDN w:val="0"/>
        <w:adjustRightInd w:val="0"/>
        <w:rPr>
          <w:szCs w:val="22"/>
        </w:rPr>
      </w:pPr>
      <w:r w:rsidRPr="00A913BF">
        <w:rPr>
          <w:szCs w:val="22"/>
        </w:rPr>
        <w:t>LT/1/99/0689/049 - lizdinė plokštelė, N15</w:t>
      </w:r>
    </w:p>
    <w:p w14:paraId="7AE37DFA" w14:textId="77777777" w:rsidR="00912BDF" w:rsidRPr="00A913BF" w:rsidRDefault="00912BDF" w:rsidP="00912BDF">
      <w:pPr>
        <w:autoSpaceDE w:val="0"/>
        <w:autoSpaceDN w:val="0"/>
        <w:adjustRightInd w:val="0"/>
        <w:rPr>
          <w:szCs w:val="22"/>
        </w:rPr>
      </w:pPr>
      <w:r w:rsidRPr="00A913BF">
        <w:rPr>
          <w:szCs w:val="22"/>
        </w:rPr>
        <w:t>LT/1/99/0689/050 - vienadozė lizdinė plokštelė, N15x1</w:t>
      </w:r>
    </w:p>
    <w:p w14:paraId="0464CFEB" w14:textId="77777777" w:rsidR="00912BDF" w:rsidRPr="00A913BF" w:rsidRDefault="00912BDF" w:rsidP="00912BDF">
      <w:pPr>
        <w:autoSpaceDE w:val="0"/>
        <w:autoSpaceDN w:val="0"/>
        <w:adjustRightInd w:val="0"/>
        <w:rPr>
          <w:szCs w:val="22"/>
        </w:rPr>
      </w:pPr>
      <w:r w:rsidRPr="00A913BF">
        <w:rPr>
          <w:szCs w:val="22"/>
        </w:rPr>
        <w:t>LT/1/99/0689/051 - lizdinė plokštelė, N20</w:t>
      </w:r>
    </w:p>
    <w:p w14:paraId="2A8913A9" w14:textId="77777777" w:rsidR="00912BDF" w:rsidRPr="00A913BF" w:rsidRDefault="00912BDF" w:rsidP="00912BDF">
      <w:pPr>
        <w:autoSpaceDE w:val="0"/>
        <w:autoSpaceDN w:val="0"/>
        <w:adjustRightInd w:val="0"/>
        <w:rPr>
          <w:szCs w:val="22"/>
        </w:rPr>
      </w:pPr>
      <w:r w:rsidRPr="00A913BF">
        <w:rPr>
          <w:szCs w:val="22"/>
        </w:rPr>
        <w:t>LT/1/99/0689/052 - lizdinė plokštelė, N30</w:t>
      </w:r>
    </w:p>
    <w:p w14:paraId="67C3F117" w14:textId="77777777" w:rsidR="00912BDF" w:rsidRPr="00A913BF" w:rsidRDefault="00912BDF" w:rsidP="00912BDF">
      <w:pPr>
        <w:autoSpaceDE w:val="0"/>
        <w:autoSpaceDN w:val="0"/>
        <w:adjustRightInd w:val="0"/>
        <w:rPr>
          <w:szCs w:val="22"/>
        </w:rPr>
      </w:pPr>
      <w:r w:rsidRPr="00A913BF">
        <w:rPr>
          <w:szCs w:val="22"/>
        </w:rPr>
        <w:lastRenderedPageBreak/>
        <w:t>LT/1/99/0689/053 - vienadozė lizdinė plokštelė, N30x1</w:t>
      </w:r>
    </w:p>
    <w:p w14:paraId="6304F01F" w14:textId="77777777" w:rsidR="00912BDF" w:rsidRPr="00A913BF" w:rsidRDefault="00912BDF" w:rsidP="00912BDF">
      <w:pPr>
        <w:autoSpaceDE w:val="0"/>
        <w:autoSpaceDN w:val="0"/>
        <w:adjustRightInd w:val="0"/>
        <w:rPr>
          <w:szCs w:val="22"/>
        </w:rPr>
      </w:pPr>
      <w:r w:rsidRPr="00A913BF">
        <w:rPr>
          <w:szCs w:val="22"/>
        </w:rPr>
        <w:t>LT/1/99/0689/054 - lizdinė plokštelė, N50</w:t>
      </w:r>
    </w:p>
    <w:p w14:paraId="4F7CBD43" w14:textId="77777777" w:rsidR="00912BDF" w:rsidRPr="00A913BF" w:rsidRDefault="00912BDF" w:rsidP="00912BDF">
      <w:pPr>
        <w:autoSpaceDE w:val="0"/>
        <w:autoSpaceDN w:val="0"/>
        <w:adjustRightInd w:val="0"/>
        <w:rPr>
          <w:szCs w:val="22"/>
        </w:rPr>
      </w:pPr>
      <w:r w:rsidRPr="00A913BF">
        <w:rPr>
          <w:szCs w:val="22"/>
        </w:rPr>
        <w:t>LT/1/99/0689/055 - vienadozė lizdinė plokštelė, N50x1</w:t>
      </w:r>
    </w:p>
    <w:p w14:paraId="7F7591AC" w14:textId="77777777" w:rsidR="00912BDF" w:rsidRPr="00A913BF" w:rsidRDefault="00912BDF" w:rsidP="00912BDF">
      <w:pPr>
        <w:autoSpaceDE w:val="0"/>
        <w:autoSpaceDN w:val="0"/>
        <w:adjustRightInd w:val="0"/>
        <w:rPr>
          <w:szCs w:val="22"/>
        </w:rPr>
      </w:pPr>
      <w:r w:rsidRPr="00A913BF">
        <w:rPr>
          <w:szCs w:val="22"/>
        </w:rPr>
        <w:t>LT/1/99/0689/075 - lizdinė plokštelė, N90</w:t>
      </w:r>
    </w:p>
    <w:p w14:paraId="5C62679F" w14:textId="77777777" w:rsidR="00912BDF" w:rsidRPr="00A913BF" w:rsidRDefault="00912BDF" w:rsidP="00912BDF">
      <w:pPr>
        <w:autoSpaceDE w:val="0"/>
        <w:autoSpaceDN w:val="0"/>
        <w:adjustRightInd w:val="0"/>
        <w:rPr>
          <w:szCs w:val="22"/>
        </w:rPr>
      </w:pPr>
      <w:r w:rsidRPr="00A913BF">
        <w:rPr>
          <w:szCs w:val="22"/>
        </w:rPr>
        <w:t>LT/1/99/0689/056 - vienadozė lizdinė plokštelė, N98x1</w:t>
      </w:r>
    </w:p>
    <w:p w14:paraId="462E2D95" w14:textId="77777777" w:rsidR="00912BDF" w:rsidRPr="00A913BF" w:rsidRDefault="00912BDF" w:rsidP="00912BDF">
      <w:pPr>
        <w:autoSpaceDE w:val="0"/>
        <w:autoSpaceDN w:val="0"/>
        <w:adjustRightInd w:val="0"/>
        <w:rPr>
          <w:szCs w:val="22"/>
        </w:rPr>
      </w:pPr>
      <w:r w:rsidRPr="00A913BF">
        <w:rPr>
          <w:szCs w:val="22"/>
        </w:rPr>
        <w:t>LT/1/99/0689/057 - lizdinė plokštelė, N100</w:t>
      </w:r>
    </w:p>
    <w:p w14:paraId="74977967" w14:textId="77777777" w:rsidR="00912BDF" w:rsidRPr="00A913BF" w:rsidRDefault="00912BDF" w:rsidP="00912BDF">
      <w:pPr>
        <w:autoSpaceDE w:val="0"/>
        <w:autoSpaceDN w:val="0"/>
        <w:adjustRightInd w:val="0"/>
        <w:rPr>
          <w:szCs w:val="22"/>
        </w:rPr>
      </w:pPr>
      <w:r w:rsidRPr="00A913BF">
        <w:rPr>
          <w:szCs w:val="22"/>
        </w:rPr>
        <w:t>LT/1/99/0689/058 - lizdinė plokštelė, N300</w:t>
      </w:r>
    </w:p>
    <w:p w14:paraId="7219612C" w14:textId="77777777" w:rsidR="00912BDF" w:rsidRPr="00A913BF" w:rsidRDefault="00912BDF" w:rsidP="00912BDF">
      <w:pPr>
        <w:autoSpaceDE w:val="0"/>
        <w:autoSpaceDN w:val="0"/>
        <w:adjustRightInd w:val="0"/>
        <w:rPr>
          <w:szCs w:val="22"/>
        </w:rPr>
      </w:pPr>
      <w:r w:rsidRPr="00A913BF">
        <w:rPr>
          <w:szCs w:val="22"/>
        </w:rPr>
        <w:t>LT/1/99/0689/059 - buteliukas, N100</w:t>
      </w:r>
    </w:p>
    <w:p w14:paraId="52B1BF75" w14:textId="77777777" w:rsidR="00912BDF" w:rsidRPr="00A913BF" w:rsidRDefault="00912BDF" w:rsidP="00912BDF">
      <w:pPr>
        <w:autoSpaceDE w:val="0"/>
        <w:autoSpaceDN w:val="0"/>
        <w:adjustRightInd w:val="0"/>
        <w:rPr>
          <w:szCs w:val="22"/>
        </w:rPr>
      </w:pPr>
      <w:r w:rsidRPr="00A913BF">
        <w:rPr>
          <w:szCs w:val="22"/>
        </w:rPr>
        <w:t>LT/1/99/0689/060 - buteliukas, N250</w:t>
      </w:r>
    </w:p>
    <w:p w14:paraId="080AC9B1" w14:textId="77777777" w:rsidR="00912BDF" w:rsidRPr="00A913BF" w:rsidRDefault="00912BDF" w:rsidP="00912BDF">
      <w:pPr>
        <w:rPr>
          <w:szCs w:val="22"/>
          <w:lang w:eastAsia="lt-LT"/>
        </w:rPr>
      </w:pPr>
    </w:p>
    <w:p w14:paraId="20E84B24" w14:textId="77777777" w:rsidR="00912BDF" w:rsidRPr="00A913BF" w:rsidRDefault="00912BDF" w:rsidP="00912BDF">
      <w:pPr>
        <w:rPr>
          <w:szCs w:val="22"/>
          <w:u w:val="single"/>
          <w:lang w:eastAsia="lt-LT"/>
        </w:rPr>
      </w:pPr>
      <w:r w:rsidRPr="00A913BF">
        <w:rPr>
          <w:szCs w:val="22"/>
          <w:u w:val="single"/>
          <w:lang w:eastAsia="lt-LT"/>
        </w:rPr>
        <w:t xml:space="preserve">Atacand 32 mg tabletės </w:t>
      </w:r>
    </w:p>
    <w:p w14:paraId="0A9774A1" w14:textId="77777777" w:rsidR="00912BDF" w:rsidRPr="00A913BF" w:rsidRDefault="00912BDF" w:rsidP="00912BDF">
      <w:pPr>
        <w:rPr>
          <w:szCs w:val="22"/>
          <w:lang w:eastAsia="lt-LT"/>
        </w:rPr>
      </w:pPr>
      <w:r w:rsidRPr="00A913BF">
        <w:rPr>
          <w:szCs w:val="22"/>
          <w:lang w:eastAsia="lt-LT"/>
        </w:rPr>
        <w:t>LT/1/99/0689/004 – lizdinė plokštelė, N28</w:t>
      </w:r>
    </w:p>
    <w:p w14:paraId="6F620214" w14:textId="77777777" w:rsidR="00912BDF" w:rsidRPr="00A913BF" w:rsidRDefault="00912BDF" w:rsidP="00912BDF">
      <w:pPr>
        <w:rPr>
          <w:bCs/>
          <w:szCs w:val="22"/>
        </w:rPr>
      </w:pPr>
      <w:r w:rsidRPr="00A913BF">
        <w:rPr>
          <w:bCs/>
          <w:szCs w:val="22"/>
        </w:rPr>
        <w:t>LT/1/99/0689/020 – kalendorinė lizdinė plokštelė, N7</w:t>
      </w:r>
    </w:p>
    <w:p w14:paraId="1DF69EF2" w14:textId="77777777" w:rsidR="00912BDF" w:rsidRPr="00A913BF" w:rsidRDefault="00912BDF" w:rsidP="00912BDF">
      <w:pPr>
        <w:rPr>
          <w:bCs/>
          <w:szCs w:val="22"/>
        </w:rPr>
      </w:pPr>
      <w:r w:rsidRPr="00A913BF">
        <w:rPr>
          <w:bCs/>
          <w:szCs w:val="22"/>
        </w:rPr>
        <w:t>LT/1/99/0689/021 – kalendorinė lizdinė plokštelė, N14</w:t>
      </w:r>
    </w:p>
    <w:p w14:paraId="193C7020" w14:textId="77777777" w:rsidR="00912BDF" w:rsidRPr="00A913BF" w:rsidRDefault="00912BDF" w:rsidP="00912BDF">
      <w:pPr>
        <w:rPr>
          <w:bCs/>
          <w:szCs w:val="22"/>
        </w:rPr>
      </w:pPr>
      <w:r w:rsidRPr="00A913BF">
        <w:rPr>
          <w:bCs/>
          <w:szCs w:val="22"/>
        </w:rPr>
        <w:t>LT/1/99/0689/022 – kalendorinė lizdinė plokštelė, N28</w:t>
      </w:r>
    </w:p>
    <w:p w14:paraId="3EA636AB" w14:textId="77777777" w:rsidR="00912BDF" w:rsidRPr="00A913BF" w:rsidRDefault="00912BDF" w:rsidP="00912BDF">
      <w:pPr>
        <w:rPr>
          <w:bCs/>
          <w:szCs w:val="22"/>
        </w:rPr>
      </w:pPr>
      <w:r w:rsidRPr="00A913BF">
        <w:rPr>
          <w:bCs/>
          <w:szCs w:val="22"/>
        </w:rPr>
        <w:t>LT/1/99/0689/023 – kalendorinė lizdinė plokštelė, N56</w:t>
      </w:r>
    </w:p>
    <w:p w14:paraId="098C1D0F" w14:textId="77777777" w:rsidR="00912BDF" w:rsidRPr="00A913BF" w:rsidRDefault="00912BDF" w:rsidP="00912BDF">
      <w:pPr>
        <w:rPr>
          <w:bCs/>
          <w:szCs w:val="22"/>
        </w:rPr>
      </w:pPr>
      <w:r w:rsidRPr="00A913BF">
        <w:rPr>
          <w:bCs/>
          <w:szCs w:val="22"/>
        </w:rPr>
        <w:t>LT/1/99/0689/024 – kalendorinė lizdinė plokštelė, N98</w:t>
      </w:r>
    </w:p>
    <w:p w14:paraId="5F43813E" w14:textId="77777777" w:rsidR="00912BDF" w:rsidRPr="00A913BF" w:rsidRDefault="00912BDF" w:rsidP="00912BDF">
      <w:pPr>
        <w:autoSpaceDE w:val="0"/>
        <w:autoSpaceDN w:val="0"/>
        <w:adjustRightInd w:val="0"/>
        <w:rPr>
          <w:szCs w:val="22"/>
        </w:rPr>
      </w:pPr>
      <w:r w:rsidRPr="00A913BF">
        <w:rPr>
          <w:szCs w:val="22"/>
        </w:rPr>
        <w:t>LT/1/99/0689/061 - lizdinė plokštelė, N15</w:t>
      </w:r>
    </w:p>
    <w:p w14:paraId="3BC21B97" w14:textId="77777777" w:rsidR="00912BDF" w:rsidRPr="00A913BF" w:rsidRDefault="00912BDF" w:rsidP="00912BDF">
      <w:pPr>
        <w:autoSpaceDE w:val="0"/>
        <w:autoSpaceDN w:val="0"/>
        <w:adjustRightInd w:val="0"/>
        <w:rPr>
          <w:szCs w:val="22"/>
        </w:rPr>
      </w:pPr>
      <w:r w:rsidRPr="00A913BF">
        <w:rPr>
          <w:szCs w:val="22"/>
        </w:rPr>
        <w:t>LT/1/99/0689/062 - vienadozė lizdinė plokštelė, N15x1</w:t>
      </w:r>
    </w:p>
    <w:p w14:paraId="20A93132" w14:textId="77777777" w:rsidR="00912BDF" w:rsidRPr="00A913BF" w:rsidRDefault="00912BDF" w:rsidP="00912BDF">
      <w:pPr>
        <w:autoSpaceDE w:val="0"/>
        <w:autoSpaceDN w:val="0"/>
        <w:adjustRightInd w:val="0"/>
        <w:rPr>
          <w:szCs w:val="22"/>
        </w:rPr>
      </w:pPr>
      <w:r w:rsidRPr="00A913BF">
        <w:rPr>
          <w:szCs w:val="22"/>
        </w:rPr>
        <w:t>LT/1/99/0689/063 - lizdinė plokštelė, N20</w:t>
      </w:r>
    </w:p>
    <w:p w14:paraId="15D10DA1" w14:textId="77777777" w:rsidR="00912BDF" w:rsidRPr="00A913BF" w:rsidRDefault="00912BDF" w:rsidP="00912BDF">
      <w:pPr>
        <w:autoSpaceDE w:val="0"/>
        <w:autoSpaceDN w:val="0"/>
        <w:adjustRightInd w:val="0"/>
        <w:rPr>
          <w:szCs w:val="22"/>
        </w:rPr>
      </w:pPr>
      <w:r w:rsidRPr="00A913BF">
        <w:rPr>
          <w:szCs w:val="22"/>
        </w:rPr>
        <w:t>LT/1/99/0689/064 - lizdinė plokštelė, N30</w:t>
      </w:r>
    </w:p>
    <w:p w14:paraId="10049163" w14:textId="77777777" w:rsidR="00912BDF" w:rsidRPr="00A913BF" w:rsidRDefault="00912BDF" w:rsidP="00912BDF">
      <w:pPr>
        <w:autoSpaceDE w:val="0"/>
        <w:autoSpaceDN w:val="0"/>
        <w:adjustRightInd w:val="0"/>
        <w:rPr>
          <w:szCs w:val="22"/>
        </w:rPr>
      </w:pPr>
      <w:r w:rsidRPr="00A913BF">
        <w:rPr>
          <w:szCs w:val="22"/>
        </w:rPr>
        <w:t>LT/1/99/0689/065 - vienadozė lizdinė plokštelė, N30x1</w:t>
      </w:r>
    </w:p>
    <w:p w14:paraId="1A4A49C6" w14:textId="77777777" w:rsidR="00912BDF" w:rsidRPr="00A913BF" w:rsidRDefault="00912BDF" w:rsidP="00912BDF">
      <w:pPr>
        <w:autoSpaceDE w:val="0"/>
        <w:autoSpaceDN w:val="0"/>
        <w:adjustRightInd w:val="0"/>
        <w:rPr>
          <w:szCs w:val="22"/>
        </w:rPr>
      </w:pPr>
      <w:r w:rsidRPr="00A913BF">
        <w:rPr>
          <w:szCs w:val="22"/>
        </w:rPr>
        <w:t>LT/1/99/0689/066 - lizdinė plokštelė, N50</w:t>
      </w:r>
    </w:p>
    <w:p w14:paraId="2EFCFD5C" w14:textId="77777777" w:rsidR="00912BDF" w:rsidRPr="00A913BF" w:rsidRDefault="00912BDF" w:rsidP="00912BDF">
      <w:pPr>
        <w:autoSpaceDE w:val="0"/>
        <w:autoSpaceDN w:val="0"/>
        <w:adjustRightInd w:val="0"/>
        <w:rPr>
          <w:szCs w:val="22"/>
        </w:rPr>
      </w:pPr>
      <w:r w:rsidRPr="00A913BF">
        <w:rPr>
          <w:szCs w:val="22"/>
        </w:rPr>
        <w:t>LT/1/99/0689/067 - vienadozė lizdinė plokštelė, N50x1</w:t>
      </w:r>
    </w:p>
    <w:p w14:paraId="3A907063" w14:textId="77777777" w:rsidR="00912BDF" w:rsidRPr="00A913BF" w:rsidRDefault="00912BDF" w:rsidP="00912BDF">
      <w:pPr>
        <w:autoSpaceDE w:val="0"/>
        <w:autoSpaceDN w:val="0"/>
        <w:adjustRightInd w:val="0"/>
        <w:rPr>
          <w:szCs w:val="22"/>
        </w:rPr>
      </w:pPr>
      <w:r w:rsidRPr="00A913BF">
        <w:rPr>
          <w:szCs w:val="22"/>
        </w:rPr>
        <w:t>LT/1/99/0689/076 - lizdinė plokštelė, N90</w:t>
      </w:r>
    </w:p>
    <w:p w14:paraId="5234681F" w14:textId="77777777" w:rsidR="00912BDF" w:rsidRPr="00A913BF" w:rsidRDefault="00912BDF" w:rsidP="00912BDF">
      <w:pPr>
        <w:autoSpaceDE w:val="0"/>
        <w:autoSpaceDN w:val="0"/>
        <w:adjustRightInd w:val="0"/>
        <w:rPr>
          <w:szCs w:val="22"/>
        </w:rPr>
      </w:pPr>
      <w:r w:rsidRPr="00A913BF">
        <w:rPr>
          <w:szCs w:val="22"/>
        </w:rPr>
        <w:t>LT/1/99/0689/068 - vienadozė lizdinė plokštelė, N98x1</w:t>
      </w:r>
    </w:p>
    <w:p w14:paraId="3F8B4527" w14:textId="77777777" w:rsidR="00912BDF" w:rsidRPr="00A913BF" w:rsidRDefault="00912BDF" w:rsidP="00912BDF">
      <w:pPr>
        <w:autoSpaceDE w:val="0"/>
        <w:autoSpaceDN w:val="0"/>
        <w:adjustRightInd w:val="0"/>
        <w:rPr>
          <w:szCs w:val="22"/>
        </w:rPr>
      </w:pPr>
      <w:r w:rsidRPr="00A913BF">
        <w:rPr>
          <w:szCs w:val="22"/>
        </w:rPr>
        <w:t>LT/1/99/0689/069 - lizdinė plokštelė, N100</w:t>
      </w:r>
    </w:p>
    <w:p w14:paraId="5CE8C57A" w14:textId="77777777" w:rsidR="00912BDF" w:rsidRPr="00A913BF" w:rsidRDefault="00912BDF" w:rsidP="00912BDF">
      <w:pPr>
        <w:autoSpaceDE w:val="0"/>
        <w:autoSpaceDN w:val="0"/>
        <w:adjustRightInd w:val="0"/>
        <w:rPr>
          <w:szCs w:val="22"/>
        </w:rPr>
      </w:pPr>
      <w:r w:rsidRPr="00A913BF">
        <w:rPr>
          <w:szCs w:val="22"/>
        </w:rPr>
        <w:t>LT/1/99/0689/070 - lizdinė plokštelė, N300</w:t>
      </w:r>
    </w:p>
    <w:p w14:paraId="68ECD121" w14:textId="77777777" w:rsidR="00912BDF" w:rsidRPr="00A913BF" w:rsidRDefault="00912BDF" w:rsidP="00912BDF">
      <w:pPr>
        <w:autoSpaceDE w:val="0"/>
        <w:autoSpaceDN w:val="0"/>
        <w:adjustRightInd w:val="0"/>
        <w:rPr>
          <w:szCs w:val="22"/>
        </w:rPr>
      </w:pPr>
      <w:r w:rsidRPr="00A913BF">
        <w:rPr>
          <w:szCs w:val="22"/>
        </w:rPr>
        <w:t>LT/1/99/0689/071 - buteliukas, N100</w:t>
      </w:r>
    </w:p>
    <w:p w14:paraId="601FC9D6" w14:textId="77777777" w:rsidR="00912BDF" w:rsidRPr="00A913BF" w:rsidRDefault="00912BDF" w:rsidP="00912BDF">
      <w:pPr>
        <w:autoSpaceDE w:val="0"/>
        <w:autoSpaceDN w:val="0"/>
        <w:adjustRightInd w:val="0"/>
        <w:rPr>
          <w:szCs w:val="22"/>
        </w:rPr>
      </w:pPr>
      <w:r w:rsidRPr="00A913BF">
        <w:rPr>
          <w:szCs w:val="22"/>
        </w:rPr>
        <w:t>LT/1/99/0689/072 - buteliukas, N250</w:t>
      </w:r>
    </w:p>
    <w:p w14:paraId="3E8EF155" w14:textId="77777777" w:rsidR="00912BDF" w:rsidRPr="00A913BF" w:rsidRDefault="00912BDF" w:rsidP="00912BDF">
      <w:pPr>
        <w:rPr>
          <w:szCs w:val="22"/>
        </w:rPr>
      </w:pPr>
    </w:p>
    <w:p w14:paraId="0CCD1483" w14:textId="77777777" w:rsidR="00912BDF" w:rsidRPr="00A913BF" w:rsidRDefault="00912BDF" w:rsidP="00912BDF">
      <w:pPr>
        <w:ind w:left="567" w:hanging="567"/>
        <w:rPr>
          <w:szCs w:val="22"/>
        </w:rPr>
      </w:pPr>
    </w:p>
    <w:p w14:paraId="329895C5" w14:textId="77777777" w:rsidR="00912BDF" w:rsidRPr="00A913BF" w:rsidRDefault="00912BDF" w:rsidP="00912BDF">
      <w:pPr>
        <w:ind w:left="567" w:hanging="567"/>
        <w:rPr>
          <w:b/>
          <w:caps/>
          <w:szCs w:val="22"/>
        </w:rPr>
      </w:pPr>
      <w:r w:rsidRPr="00A913BF">
        <w:rPr>
          <w:b/>
          <w:caps/>
          <w:szCs w:val="22"/>
        </w:rPr>
        <w:t>9.</w:t>
      </w:r>
      <w:r w:rsidRPr="00A913BF">
        <w:rPr>
          <w:b/>
          <w:caps/>
          <w:szCs w:val="22"/>
        </w:rPr>
        <w:tab/>
        <w:t>R</w:t>
      </w:r>
      <w:r>
        <w:rPr>
          <w:b/>
          <w:caps/>
          <w:szCs w:val="22"/>
        </w:rPr>
        <w:t>egistravimo / perregistravimo</w:t>
      </w:r>
      <w:r w:rsidRPr="00A913BF">
        <w:rPr>
          <w:b/>
          <w:caps/>
          <w:szCs w:val="22"/>
        </w:rPr>
        <w:t xml:space="preserve"> DATA </w:t>
      </w:r>
    </w:p>
    <w:p w14:paraId="22B6788A" w14:textId="77777777" w:rsidR="00912BDF" w:rsidRPr="00A913BF" w:rsidRDefault="00912BDF" w:rsidP="00912BDF">
      <w:pPr>
        <w:ind w:left="567" w:hanging="567"/>
        <w:rPr>
          <w:b/>
          <w:caps/>
          <w:szCs w:val="22"/>
        </w:rPr>
      </w:pPr>
    </w:p>
    <w:p w14:paraId="4D3B1508" w14:textId="77777777" w:rsidR="00912BDF" w:rsidRPr="00A913BF" w:rsidRDefault="00912BDF" w:rsidP="00912BDF">
      <w:pPr>
        <w:rPr>
          <w:rFonts w:eastAsia="SimSun"/>
          <w:szCs w:val="22"/>
          <w:lang w:eastAsia="zh-CN"/>
        </w:rPr>
      </w:pPr>
      <w:r w:rsidRPr="000A79DC">
        <w:rPr>
          <w:noProof/>
        </w:rPr>
        <w:t>Registravimo data</w:t>
      </w:r>
      <w:r w:rsidRPr="00A913BF">
        <w:rPr>
          <w:rFonts w:eastAsia="SimSun"/>
          <w:szCs w:val="22"/>
          <w:lang w:eastAsia="zh-CN"/>
        </w:rPr>
        <w:t xml:space="preserve"> </w:t>
      </w:r>
    </w:p>
    <w:p w14:paraId="6EA2B802" w14:textId="77777777" w:rsidR="00912BDF" w:rsidRPr="00A913BF" w:rsidRDefault="00912BDF" w:rsidP="00912BDF">
      <w:pPr>
        <w:ind w:left="567"/>
        <w:rPr>
          <w:rFonts w:eastAsia="SimSun"/>
          <w:szCs w:val="22"/>
          <w:lang w:eastAsia="zh-CN"/>
        </w:rPr>
      </w:pPr>
      <w:r w:rsidRPr="00A913BF">
        <w:rPr>
          <w:szCs w:val="22"/>
          <w:lang w:eastAsia="lt-LT"/>
        </w:rPr>
        <w:t>Atacand 4 mg, 8 mg, 16 mg tabletės</w:t>
      </w:r>
      <w:r w:rsidRPr="00A913BF">
        <w:rPr>
          <w:rFonts w:eastAsia="SimSun"/>
          <w:szCs w:val="22"/>
          <w:lang w:eastAsia="zh-CN"/>
        </w:rPr>
        <w:t xml:space="preserve"> 1999 m. gruodžio 30 d.</w:t>
      </w:r>
    </w:p>
    <w:p w14:paraId="737A1857" w14:textId="77777777" w:rsidR="00912BDF" w:rsidRPr="00A913BF" w:rsidRDefault="00912BDF" w:rsidP="00912BDF">
      <w:pPr>
        <w:ind w:left="567"/>
        <w:rPr>
          <w:rFonts w:eastAsia="SimSun"/>
          <w:szCs w:val="22"/>
          <w:lang w:eastAsia="zh-CN"/>
        </w:rPr>
      </w:pPr>
      <w:r w:rsidRPr="00A913BF">
        <w:rPr>
          <w:szCs w:val="22"/>
          <w:lang w:eastAsia="lt-LT"/>
        </w:rPr>
        <w:t>Atacand 32 mg tabletės</w:t>
      </w:r>
      <w:r w:rsidRPr="00A913BF">
        <w:rPr>
          <w:rFonts w:eastAsia="SimSun"/>
          <w:szCs w:val="22"/>
          <w:lang w:eastAsia="zh-CN"/>
        </w:rPr>
        <w:t xml:space="preserve"> 1997 m. balandžio 16 d.</w:t>
      </w:r>
    </w:p>
    <w:p w14:paraId="2E04A5F0" w14:textId="77777777" w:rsidR="00912BDF" w:rsidRPr="00A913BF" w:rsidRDefault="00912BDF" w:rsidP="00912BDF">
      <w:pPr>
        <w:rPr>
          <w:snapToGrid w:val="0"/>
          <w:szCs w:val="22"/>
        </w:rPr>
      </w:pPr>
      <w:r w:rsidRPr="000A79DC">
        <w:rPr>
          <w:noProof/>
          <w:szCs w:val="22"/>
        </w:rPr>
        <w:t xml:space="preserve">Paskutinio </w:t>
      </w:r>
      <w:r w:rsidRPr="000A79DC">
        <w:rPr>
          <w:noProof/>
        </w:rPr>
        <w:t>perregistravimo data</w:t>
      </w:r>
      <w:r w:rsidRPr="00A913BF">
        <w:rPr>
          <w:noProof/>
          <w:snapToGrid w:val="0"/>
          <w:szCs w:val="22"/>
        </w:rPr>
        <w:t xml:space="preserve"> 2014 m. vasario </w:t>
      </w:r>
      <w:r w:rsidRPr="00A913BF">
        <w:rPr>
          <w:snapToGrid w:val="0"/>
          <w:szCs w:val="22"/>
        </w:rPr>
        <w:t>11</w:t>
      </w:r>
      <w:r w:rsidRPr="00A913BF">
        <w:rPr>
          <w:noProof/>
          <w:snapToGrid w:val="0"/>
          <w:szCs w:val="22"/>
        </w:rPr>
        <w:t> d.</w:t>
      </w:r>
    </w:p>
    <w:p w14:paraId="035EA40F" w14:textId="77777777" w:rsidR="00912BDF" w:rsidRDefault="00912BDF" w:rsidP="00912BDF">
      <w:pPr>
        <w:ind w:left="567" w:hanging="567"/>
        <w:rPr>
          <w:szCs w:val="22"/>
        </w:rPr>
      </w:pPr>
    </w:p>
    <w:p w14:paraId="60C88BF2" w14:textId="77777777" w:rsidR="00912BDF" w:rsidRPr="00A913BF" w:rsidRDefault="00912BDF" w:rsidP="00912BDF">
      <w:pPr>
        <w:ind w:left="567" w:hanging="567"/>
        <w:rPr>
          <w:szCs w:val="22"/>
        </w:rPr>
      </w:pPr>
    </w:p>
    <w:p w14:paraId="08AD9B1C" w14:textId="77777777" w:rsidR="00912BDF" w:rsidRPr="00A913BF" w:rsidRDefault="00912BDF" w:rsidP="00912BDF">
      <w:pPr>
        <w:ind w:left="567" w:hanging="567"/>
        <w:rPr>
          <w:b/>
          <w:caps/>
          <w:szCs w:val="22"/>
        </w:rPr>
      </w:pPr>
      <w:r w:rsidRPr="00A913BF">
        <w:rPr>
          <w:b/>
          <w:caps/>
          <w:szCs w:val="22"/>
        </w:rPr>
        <w:t>10.</w:t>
      </w:r>
      <w:r w:rsidRPr="00A913BF">
        <w:rPr>
          <w:b/>
          <w:caps/>
          <w:szCs w:val="22"/>
        </w:rPr>
        <w:tab/>
        <w:t>teksto peržiūros data</w:t>
      </w:r>
    </w:p>
    <w:p w14:paraId="07242CA2" w14:textId="77777777" w:rsidR="00912BDF" w:rsidRPr="00475102" w:rsidRDefault="00912BDF" w:rsidP="00912BDF">
      <w:pPr>
        <w:ind w:left="567" w:hanging="567"/>
        <w:rPr>
          <w:b/>
          <w:caps/>
          <w:szCs w:val="22"/>
        </w:rPr>
      </w:pPr>
    </w:p>
    <w:p w14:paraId="69868373" w14:textId="6C0B545B" w:rsidR="004B6071" w:rsidRPr="003248F0" w:rsidRDefault="004B6071" w:rsidP="004B6071">
      <w:pPr>
        <w:ind w:left="567" w:hanging="567"/>
        <w:rPr>
          <w:caps/>
          <w:szCs w:val="22"/>
        </w:rPr>
      </w:pPr>
      <w:r w:rsidRPr="003248F0">
        <w:rPr>
          <w:szCs w:val="22"/>
        </w:rPr>
        <w:t>20</w:t>
      </w:r>
      <w:r w:rsidR="00150E2A">
        <w:rPr>
          <w:szCs w:val="22"/>
        </w:rPr>
        <w:t>21</w:t>
      </w:r>
      <w:r w:rsidRPr="003248F0">
        <w:rPr>
          <w:szCs w:val="22"/>
        </w:rPr>
        <w:t xml:space="preserve"> m</w:t>
      </w:r>
      <w:r>
        <w:rPr>
          <w:szCs w:val="22"/>
        </w:rPr>
        <w:t xml:space="preserve">. </w:t>
      </w:r>
      <w:r w:rsidR="00150E2A">
        <w:rPr>
          <w:szCs w:val="22"/>
        </w:rPr>
        <w:t>kovo</w:t>
      </w:r>
      <w:r>
        <w:rPr>
          <w:szCs w:val="22"/>
        </w:rPr>
        <w:t xml:space="preserve"> 1 </w:t>
      </w:r>
      <w:r w:rsidRPr="003248F0">
        <w:rPr>
          <w:szCs w:val="22"/>
        </w:rPr>
        <w:t>d.</w:t>
      </w:r>
    </w:p>
    <w:p w14:paraId="1A8C2EE9" w14:textId="77777777" w:rsidR="00912BDF" w:rsidRDefault="00912BDF" w:rsidP="00912BDF">
      <w:pPr>
        <w:tabs>
          <w:tab w:val="left" w:pos="5954"/>
          <w:tab w:val="left" w:pos="6237"/>
          <w:tab w:val="left" w:pos="6663"/>
          <w:tab w:val="left" w:pos="6946"/>
        </w:tabs>
        <w:rPr>
          <w:rFonts w:eastAsia="SimSun"/>
          <w:szCs w:val="22"/>
        </w:rPr>
      </w:pPr>
    </w:p>
    <w:p w14:paraId="0EF06D26" w14:textId="77777777" w:rsidR="00912BDF" w:rsidRPr="00A913BF" w:rsidRDefault="00912BDF" w:rsidP="00912BDF">
      <w:pPr>
        <w:tabs>
          <w:tab w:val="left" w:pos="5954"/>
          <w:tab w:val="left" w:pos="6237"/>
          <w:tab w:val="left" w:pos="6663"/>
          <w:tab w:val="left" w:pos="6946"/>
        </w:tabs>
        <w:rPr>
          <w:rFonts w:eastAsia="SimSun"/>
          <w:szCs w:val="22"/>
        </w:rPr>
      </w:pPr>
      <w:r w:rsidRPr="00A913BF">
        <w:rPr>
          <w:rFonts w:eastAsia="SimSun"/>
          <w:szCs w:val="22"/>
        </w:rPr>
        <w:t>Išsami informacija apie šį vaistinį preparatą pateikiama Valstybinės vaistų kontrolės tarnybos prie Lietuvos Respublikos  sveikatos apsaugos ministerijos tinklalapyje</w:t>
      </w:r>
      <w:r w:rsidRPr="00A913BF">
        <w:rPr>
          <w:rFonts w:eastAsia="SimSun"/>
          <w:i/>
          <w:szCs w:val="22"/>
        </w:rPr>
        <w:t xml:space="preserve"> </w:t>
      </w:r>
      <w:hyperlink r:id="rId7" w:history="1">
        <w:r w:rsidRPr="00A913BF">
          <w:rPr>
            <w:rFonts w:eastAsia="SimSun"/>
            <w:color w:val="0000FF"/>
            <w:szCs w:val="22"/>
            <w:u w:val="single"/>
          </w:rPr>
          <w:t>http://www.vvkt.lt</w:t>
        </w:r>
      </w:hyperlink>
    </w:p>
    <w:p w14:paraId="38980FBD" w14:textId="77777777" w:rsidR="00912BDF" w:rsidRPr="00A913BF" w:rsidRDefault="00912BDF" w:rsidP="00912BDF">
      <w:pPr>
        <w:jc w:val="center"/>
        <w:rPr>
          <w:szCs w:val="22"/>
        </w:rPr>
      </w:pPr>
      <w:r w:rsidRPr="00A913BF">
        <w:rPr>
          <w:szCs w:val="22"/>
        </w:rPr>
        <w:br w:type="page"/>
      </w:r>
    </w:p>
    <w:p w14:paraId="3CA0A3B2" w14:textId="77777777" w:rsidR="00912BDF" w:rsidRPr="00A913BF" w:rsidRDefault="00912BDF" w:rsidP="00912BDF">
      <w:pPr>
        <w:jc w:val="center"/>
        <w:rPr>
          <w:szCs w:val="22"/>
        </w:rPr>
      </w:pPr>
    </w:p>
    <w:p w14:paraId="79B4BBED" w14:textId="77777777" w:rsidR="00912BDF" w:rsidRPr="00A913BF" w:rsidRDefault="00912BDF" w:rsidP="00912BDF">
      <w:pPr>
        <w:jc w:val="center"/>
        <w:rPr>
          <w:szCs w:val="22"/>
        </w:rPr>
      </w:pPr>
    </w:p>
    <w:p w14:paraId="259A7241" w14:textId="77777777" w:rsidR="00912BDF" w:rsidRPr="00A913BF" w:rsidRDefault="00912BDF" w:rsidP="00912BDF">
      <w:pPr>
        <w:jc w:val="center"/>
        <w:rPr>
          <w:szCs w:val="22"/>
        </w:rPr>
      </w:pPr>
    </w:p>
    <w:p w14:paraId="311DE488" w14:textId="77777777" w:rsidR="00912BDF" w:rsidRPr="00A913BF" w:rsidRDefault="00912BDF" w:rsidP="00912BDF">
      <w:pPr>
        <w:jc w:val="center"/>
        <w:rPr>
          <w:szCs w:val="22"/>
        </w:rPr>
      </w:pPr>
    </w:p>
    <w:p w14:paraId="62D502BB" w14:textId="77777777" w:rsidR="00912BDF" w:rsidRPr="00A913BF" w:rsidRDefault="00912BDF" w:rsidP="00912BDF">
      <w:pPr>
        <w:jc w:val="center"/>
        <w:rPr>
          <w:szCs w:val="22"/>
        </w:rPr>
      </w:pPr>
    </w:p>
    <w:p w14:paraId="20D6AB29" w14:textId="77777777" w:rsidR="00912BDF" w:rsidRPr="00A913BF" w:rsidRDefault="00912BDF" w:rsidP="00912BDF">
      <w:pPr>
        <w:jc w:val="center"/>
        <w:rPr>
          <w:szCs w:val="22"/>
        </w:rPr>
      </w:pPr>
    </w:p>
    <w:p w14:paraId="6670F499" w14:textId="77777777" w:rsidR="00912BDF" w:rsidRPr="00A913BF" w:rsidRDefault="00912BDF" w:rsidP="00912BDF">
      <w:pPr>
        <w:jc w:val="center"/>
        <w:rPr>
          <w:szCs w:val="22"/>
        </w:rPr>
      </w:pPr>
    </w:p>
    <w:p w14:paraId="16646DF9" w14:textId="77777777" w:rsidR="00912BDF" w:rsidRPr="00A913BF" w:rsidRDefault="00912BDF" w:rsidP="00912BDF">
      <w:pPr>
        <w:jc w:val="center"/>
        <w:rPr>
          <w:szCs w:val="22"/>
        </w:rPr>
      </w:pPr>
    </w:p>
    <w:p w14:paraId="25DB9B83" w14:textId="77777777" w:rsidR="00912BDF" w:rsidRPr="00A913BF" w:rsidRDefault="00912BDF" w:rsidP="00912BDF">
      <w:pPr>
        <w:jc w:val="center"/>
        <w:rPr>
          <w:szCs w:val="22"/>
        </w:rPr>
      </w:pPr>
    </w:p>
    <w:p w14:paraId="74E9B0F3" w14:textId="77777777" w:rsidR="00912BDF" w:rsidRPr="00A913BF" w:rsidRDefault="00912BDF" w:rsidP="00912BDF">
      <w:pPr>
        <w:jc w:val="center"/>
        <w:rPr>
          <w:szCs w:val="22"/>
        </w:rPr>
      </w:pPr>
    </w:p>
    <w:p w14:paraId="44365B9B" w14:textId="77777777" w:rsidR="00912BDF" w:rsidRPr="00A913BF" w:rsidRDefault="00912BDF" w:rsidP="00912BDF">
      <w:pPr>
        <w:jc w:val="center"/>
        <w:rPr>
          <w:szCs w:val="22"/>
        </w:rPr>
      </w:pPr>
    </w:p>
    <w:p w14:paraId="74651090" w14:textId="77777777" w:rsidR="00912BDF" w:rsidRPr="00A913BF" w:rsidRDefault="00912BDF" w:rsidP="00912BDF">
      <w:pPr>
        <w:jc w:val="center"/>
        <w:rPr>
          <w:szCs w:val="22"/>
        </w:rPr>
      </w:pPr>
    </w:p>
    <w:p w14:paraId="64395A8C" w14:textId="77777777" w:rsidR="00912BDF" w:rsidRPr="00A913BF" w:rsidRDefault="00912BDF" w:rsidP="00912BDF">
      <w:pPr>
        <w:jc w:val="center"/>
        <w:rPr>
          <w:szCs w:val="22"/>
        </w:rPr>
      </w:pPr>
    </w:p>
    <w:p w14:paraId="07539EFB" w14:textId="77777777" w:rsidR="00912BDF" w:rsidRPr="00A913BF" w:rsidRDefault="00912BDF" w:rsidP="00912BDF">
      <w:pPr>
        <w:jc w:val="center"/>
        <w:rPr>
          <w:szCs w:val="22"/>
        </w:rPr>
      </w:pPr>
    </w:p>
    <w:p w14:paraId="2E06A8CD" w14:textId="77777777" w:rsidR="00912BDF" w:rsidRPr="00A913BF" w:rsidRDefault="00912BDF" w:rsidP="00912BDF">
      <w:pPr>
        <w:jc w:val="center"/>
        <w:rPr>
          <w:szCs w:val="22"/>
        </w:rPr>
      </w:pPr>
    </w:p>
    <w:p w14:paraId="50867AFE" w14:textId="77777777" w:rsidR="00912BDF" w:rsidRPr="00A913BF" w:rsidRDefault="00912BDF" w:rsidP="00912BDF">
      <w:pPr>
        <w:jc w:val="center"/>
        <w:rPr>
          <w:szCs w:val="22"/>
        </w:rPr>
      </w:pPr>
    </w:p>
    <w:p w14:paraId="522936CB" w14:textId="77777777" w:rsidR="00912BDF" w:rsidRPr="00A913BF" w:rsidRDefault="00912BDF" w:rsidP="00912BDF">
      <w:pPr>
        <w:jc w:val="center"/>
        <w:rPr>
          <w:szCs w:val="22"/>
        </w:rPr>
      </w:pPr>
    </w:p>
    <w:p w14:paraId="1227DF64" w14:textId="77777777" w:rsidR="00912BDF" w:rsidRPr="00A913BF" w:rsidRDefault="00912BDF" w:rsidP="00912BDF">
      <w:pPr>
        <w:jc w:val="center"/>
        <w:rPr>
          <w:szCs w:val="22"/>
        </w:rPr>
      </w:pPr>
    </w:p>
    <w:p w14:paraId="1EB1CA69" w14:textId="77777777" w:rsidR="00912BDF" w:rsidRPr="00A913BF" w:rsidRDefault="00912BDF" w:rsidP="00912BDF">
      <w:pPr>
        <w:jc w:val="center"/>
        <w:rPr>
          <w:szCs w:val="22"/>
        </w:rPr>
      </w:pPr>
    </w:p>
    <w:p w14:paraId="25AED1C6" w14:textId="77777777" w:rsidR="00912BDF" w:rsidRPr="00A913BF" w:rsidRDefault="00912BDF" w:rsidP="00912BDF">
      <w:pPr>
        <w:jc w:val="center"/>
        <w:rPr>
          <w:szCs w:val="22"/>
        </w:rPr>
      </w:pPr>
    </w:p>
    <w:p w14:paraId="3EB2522D" w14:textId="77777777" w:rsidR="00912BDF" w:rsidRPr="00A913BF" w:rsidRDefault="00912BDF" w:rsidP="00912BDF">
      <w:pPr>
        <w:jc w:val="center"/>
        <w:rPr>
          <w:szCs w:val="22"/>
        </w:rPr>
      </w:pPr>
    </w:p>
    <w:p w14:paraId="5A07597E" w14:textId="77777777" w:rsidR="00912BDF" w:rsidRPr="00A913BF" w:rsidRDefault="00912BDF" w:rsidP="00912BDF">
      <w:pPr>
        <w:pStyle w:val="Pavadinimas"/>
        <w:rPr>
          <w:sz w:val="22"/>
          <w:szCs w:val="22"/>
        </w:rPr>
      </w:pPr>
    </w:p>
    <w:p w14:paraId="67012C1C" w14:textId="77777777" w:rsidR="00912BDF" w:rsidRPr="00A913BF" w:rsidRDefault="00912BDF" w:rsidP="00912BDF">
      <w:pPr>
        <w:jc w:val="center"/>
        <w:rPr>
          <w:b/>
          <w:szCs w:val="22"/>
        </w:rPr>
      </w:pPr>
      <w:r w:rsidRPr="00A913BF">
        <w:rPr>
          <w:b/>
          <w:szCs w:val="22"/>
        </w:rPr>
        <w:t>II PRIEDAS</w:t>
      </w:r>
    </w:p>
    <w:p w14:paraId="3306193F" w14:textId="77777777" w:rsidR="00912BDF" w:rsidRPr="00A913BF" w:rsidRDefault="00912BDF" w:rsidP="00912BDF">
      <w:pPr>
        <w:jc w:val="center"/>
        <w:rPr>
          <w:b/>
          <w:szCs w:val="22"/>
        </w:rPr>
      </w:pPr>
    </w:p>
    <w:p w14:paraId="0C034F05" w14:textId="77777777" w:rsidR="00912BDF" w:rsidRPr="00A913BF" w:rsidRDefault="00912BDF" w:rsidP="00912BDF">
      <w:pPr>
        <w:jc w:val="center"/>
        <w:rPr>
          <w:b/>
          <w:szCs w:val="22"/>
        </w:rPr>
      </w:pPr>
      <w:r w:rsidRPr="00A913BF">
        <w:rPr>
          <w:b/>
          <w:szCs w:val="22"/>
        </w:rPr>
        <w:t>R</w:t>
      </w:r>
      <w:r>
        <w:rPr>
          <w:b/>
          <w:szCs w:val="22"/>
        </w:rPr>
        <w:t>EGISTRACIJOS</w:t>
      </w:r>
      <w:r w:rsidRPr="00A913BF">
        <w:rPr>
          <w:b/>
          <w:szCs w:val="22"/>
        </w:rPr>
        <w:t xml:space="preserve"> SĄLYGOS</w:t>
      </w:r>
    </w:p>
    <w:p w14:paraId="75FB3114" w14:textId="77777777" w:rsidR="00912BDF" w:rsidRPr="00A913BF" w:rsidRDefault="00912BDF" w:rsidP="00912BDF">
      <w:pPr>
        <w:rPr>
          <w:b/>
          <w:szCs w:val="22"/>
        </w:rPr>
      </w:pPr>
    </w:p>
    <w:p w14:paraId="4096CA4C" w14:textId="77777777" w:rsidR="00912BDF" w:rsidRPr="00A913BF" w:rsidRDefault="00912BDF" w:rsidP="00912BDF">
      <w:pPr>
        <w:tabs>
          <w:tab w:val="left" w:pos="1701"/>
        </w:tabs>
        <w:spacing w:line="260" w:lineRule="exact"/>
        <w:ind w:left="1701" w:right="567" w:hanging="567"/>
        <w:rPr>
          <w:b/>
          <w:snapToGrid w:val="0"/>
          <w:szCs w:val="22"/>
        </w:rPr>
      </w:pPr>
      <w:r w:rsidRPr="00A913BF">
        <w:rPr>
          <w:b/>
          <w:snapToGrid w:val="0"/>
          <w:szCs w:val="22"/>
        </w:rPr>
        <w:t>A.</w:t>
      </w:r>
      <w:r w:rsidRPr="00A913BF">
        <w:rPr>
          <w:b/>
          <w:snapToGrid w:val="0"/>
          <w:szCs w:val="22"/>
        </w:rPr>
        <w:tab/>
        <w:t>GAMINTOJAS (-AI), ATSAKINGAS (-I) UŽ SERIJŲ IŠLEIDIMĄ</w:t>
      </w:r>
    </w:p>
    <w:p w14:paraId="73DB8D2A" w14:textId="77777777" w:rsidR="00912BDF" w:rsidRPr="00A913BF" w:rsidRDefault="00912BDF" w:rsidP="00912BDF">
      <w:pPr>
        <w:tabs>
          <w:tab w:val="left" w:pos="1701"/>
        </w:tabs>
        <w:spacing w:line="260" w:lineRule="exact"/>
        <w:ind w:left="567" w:right="567" w:hanging="567"/>
        <w:rPr>
          <w:snapToGrid w:val="0"/>
          <w:szCs w:val="22"/>
        </w:rPr>
      </w:pPr>
    </w:p>
    <w:p w14:paraId="48C37001" w14:textId="77777777" w:rsidR="00912BDF" w:rsidRPr="00A913BF" w:rsidRDefault="00912BDF" w:rsidP="00912BDF">
      <w:pPr>
        <w:tabs>
          <w:tab w:val="left" w:pos="1701"/>
        </w:tabs>
        <w:spacing w:line="260" w:lineRule="exact"/>
        <w:ind w:left="1701" w:right="567" w:hanging="567"/>
        <w:rPr>
          <w:b/>
          <w:snapToGrid w:val="0"/>
          <w:szCs w:val="22"/>
        </w:rPr>
      </w:pPr>
      <w:r w:rsidRPr="00A913BF">
        <w:rPr>
          <w:b/>
          <w:snapToGrid w:val="0"/>
          <w:szCs w:val="22"/>
        </w:rPr>
        <w:t>B.</w:t>
      </w:r>
      <w:r w:rsidRPr="00A913BF">
        <w:rPr>
          <w:b/>
          <w:snapToGrid w:val="0"/>
          <w:szCs w:val="22"/>
        </w:rPr>
        <w:tab/>
        <w:t>TIEKIMO IR VARTOJIMO SĄLYGOS AR APRIBOJIMAI</w:t>
      </w:r>
    </w:p>
    <w:p w14:paraId="0CACB800" w14:textId="77777777" w:rsidR="00912BDF" w:rsidRPr="00A913BF" w:rsidRDefault="00912BDF" w:rsidP="00912BDF">
      <w:pPr>
        <w:tabs>
          <w:tab w:val="left" w:pos="1701"/>
        </w:tabs>
        <w:spacing w:line="260" w:lineRule="exact"/>
        <w:ind w:left="567" w:right="567" w:hanging="567"/>
        <w:rPr>
          <w:snapToGrid w:val="0"/>
          <w:szCs w:val="22"/>
        </w:rPr>
      </w:pPr>
    </w:p>
    <w:p w14:paraId="591B7F1D" w14:textId="77777777" w:rsidR="00912BDF" w:rsidRPr="00A913BF" w:rsidRDefault="00912BDF" w:rsidP="00912BDF">
      <w:pPr>
        <w:rPr>
          <w:szCs w:val="22"/>
        </w:rPr>
      </w:pPr>
      <w:r w:rsidRPr="00A913BF">
        <w:rPr>
          <w:szCs w:val="22"/>
        </w:rPr>
        <w:br w:type="page"/>
      </w:r>
    </w:p>
    <w:p w14:paraId="0EE84E56" w14:textId="77777777" w:rsidR="00912BDF" w:rsidRPr="00A913BF" w:rsidRDefault="00912BDF" w:rsidP="00912BDF">
      <w:pPr>
        <w:rPr>
          <w:b/>
          <w:szCs w:val="22"/>
        </w:rPr>
      </w:pPr>
      <w:r w:rsidRPr="00A913BF">
        <w:rPr>
          <w:b/>
          <w:szCs w:val="22"/>
        </w:rPr>
        <w:lastRenderedPageBreak/>
        <w:t>A. GAMINTOJAS (-AI), ATSAKINGAS (-I) UŽ SERIJŲ IŠLEIDIMĄ</w:t>
      </w:r>
    </w:p>
    <w:p w14:paraId="0111E1B5" w14:textId="77777777" w:rsidR="00912BDF" w:rsidRPr="00A913BF" w:rsidRDefault="00912BDF" w:rsidP="00912BDF">
      <w:pPr>
        <w:rPr>
          <w:szCs w:val="22"/>
        </w:rPr>
      </w:pPr>
    </w:p>
    <w:p w14:paraId="260C9387" w14:textId="77777777" w:rsidR="00912BDF" w:rsidRPr="00A913BF" w:rsidRDefault="00912BDF" w:rsidP="00912BDF">
      <w:pPr>
        <w:rPr>
          <w:szCs w:val="22"/>
          <w:u w:val="single"/>
        </w:rPr>
      </w:pPr>
      <w:r w:rsidRPr="00A913BF">
        <w:rPr>
          <w:szCs w:val="22"/>
          <w:u w:val="single"/>
        </w:rPr>
        <w:t xml:space="preserve">Gamintojų, atsakingų už serijų išleidimą, pavadinimai ir adresai </w:t>
      </w:r>
    </w:p>
    <w:p w14:paraId="4B84736A" w14:textId="77777777" w:rsidR="00912BDF" w:rsidRPr="00A913BF" w:rsidRDefault="00912BDF" w:rsidP="00912BDF">
      <w:pPr>
        <w:rPr>
          <w:szCs w:val="22"/>
        </w:rPr>
      </w:pPr>
    </w:p>
    <w:p w14:paraId="65C0437A" w14:textId="77777777" w:rsidR="000C579E" w:rsidRDefault="000C579E" w:rsidP="000C579E">
      <w:pPr>
        <w:rPr>
          <w:szCs w:val="22"/>
        </w:rPr>
      </w:pPr>
      <w:r w:rsidRPr="00413784">
        <w:rPr>
          <w:szCs w:val="22"/>
        </w:rPr>
        <w:t>Klocke Pharma-Service GmbH</w:t>
      </w:r>
    </w:p>
    <w:p w14:paraId="1BE9805B" w14:textId="77777777" w:rsidR="000C579E" w:rsidRDefault="000C579E" w:rsidP="000C579E">
      <w:pPr>
        <w:rPr>
          <w:szCs w:val="22"/>
        </w:rPr>
      </w:pPr>
      <w:r w:rsidRPr="00413784">
        <w:rPr>
          <w:szCs w:val="22"/>
        </w:rPr>
        <w:t>Straßburger Str. 77</w:t>
      </w:r>
    </w:p>
    <w:p w14:paraId="67EDDF26" w14:textId="77777777" w:rsidR="000C579E" w:rsidRDefault="000C579E" w:rsidP="000C579E">
      <w:pPr>
        <w:rPr>
          <w:szCs w:val="22"/>
        </w:rPr>
      </w:pPr>
      <w:r w:rsidRPr="00413784">
        <w:rPr>
          <w:szCs w:val="22"/>
        </w:rPr>
        <w:t>77767 Appenweier</w:t>
      </w:r>
    </w:p>
    <w:p w14:paraId="2B96A892" w14:textId="77777777" w:rsidR="000C579E" w:rsidRDefault="000C579E" w:rsidP="000C579E">
      <w:pPr>
        <w:rPr>
          <w:szCs w:val="22"/>
        </w:rPr>
      </w:pPr>
      <w:r w:rsidRPr="00413784">
        <w:rPr>
          <w:szCs w:val="22"/>
        </w:rPr>
        <w:t>Vokietija</w:t>
      </w:r>
    </w:p>
    <w:p w14:paraId="4DCDB4DE" w14:textId="77777777" w:rsidR="000C579E" w:rsidRDefault="000C579E" w:rsidP="000C579E">
      <w:pPr>
        <w:rPr>
          <w:szCs w:val="22"/>
        </w:rPr>
      </w:pPr>
    </w:p>
    <w:p w14:paraId="67A07B98" w14:textId="77777777" w:rsidR="000C579E" w:rsidRDefault="000C579E" w:rsidP="000C579E">
      <w:pPr>
        <w:rPr>
          <w:szCs w:val="22"/>
        </w:rPr>
      </w:pPr>
      <w:r>
        <w:rPr>
          <w:szCs w:val="22"/>
        </w:rPr>
        <w:t>a</w:t>
      </w:r>
      <w:r w:rsidRPr="00413784">
        <w:rPr>
          <w:szCs w:val="22"/>
        </w:rPr>
        <w:t>rba</w:t>
      </w:r>
    </w:p>
    <w:p w14:paraId="12B252FC" w14:textId="77777777" w:rsidR="000C579E" w:rsidRDefault="000C579E" w:rsidP="000C579E">
      <w:pPr>
        <w:rPr>
          <w:szCs w:val="22"/>
        </w:rPr>
      </w:pPr>
    </w:p>
    <w:p w14:paraId="5E263C13" w14:textId="77777777" w:rsidR="000C579E" w:rsidRDefault="000C579E" w:rsidP="000C579E">
      <w:pPr>
        <w:rPr>
          <w:szCs w:val="22"/>
        </w:rPr>
      </w:pPr>
      <w:r w:rsidRPr="00413784">
        <w:rPr>
          <w:szCs w:val="22"/>
        </w:rPr>
        <w:t>CHEPLAPHARM Arzneimittel GmbH</w:t>
      </w:r>
    </w:p>
    <w:p w14:paraId="7BDB9D62" w14:textId="77777777" w:rsidR="000C579E" w:rsidRDefault="000C579E" w:rsidP="000C579E">
      <w:pPr>
        <w:rPr>
          <w:szCs w:val="22"/>
        </w:rPr>
      </w:pPr>
      <w:r w:rsidRPr="00413784">
        <w:rPr>
          <w:szCs w:val="22"/>
        </w:rPr>
        <w:t>Ziegelhof 23-24</w:t>
      </w:r>
    </w:p>
    <w:p w14:paraId="3331BBCD" w14:textId="77777777" w:rsidR="000C579E" w:rsidRDefault="000C579E" w:rsidP="000C579E">
      <w:pPr>
        <w:rPr>
          <w:szCs w:val="22"/>
        </w:rPr>
      </w:pPr>
      <w:r w:rsidRPr="00413784">
        <w:rPr>
          <w:szCs w:val="22"/>
        </w:rPr>
        <w:t>17489 Greifswald</w:t>
      </w:r>
    </w:p>
    <w:p w14:paraId="15FE836A" w14:textId="77777777" w:rsidR="000C579E" w:rsidRDefault="000C579E" w:rsidP="000C579E">
      <w:pPr>
        <w:rPr>
          <w:szCs w:val="22"/>
        </w:rPr>
      </w:pPr>
      <w:r w:rsidRPr="00413784">
        <w:rPr>
          <w:szCs w:val="22"/>
        </w:rPr>
        <w:t>Vokietija</w:t>
      </w:r>
    </w:p>
    <w:p w14:paraId="6004281D" w14:textId="77777777" w:rsidR="000C579E" w:rsidRDefault="000C579E" w:rsidP="000C579E">
      <w:pPr>
        <w:rPr>
          <w:szCs w:val="22"/>
        </w:rPr>
      </w:pPr>
    </w:p>
    <w:p w14:paraId="1A83B9A1" w14:textId="77777777" w:rsidR="000C579E" w:rsidRDefault="000C579E" w:rsidP="000C579E">
      <w:pPr>
        <w:rPr>
          <w:szCs w:val="22"/>
        </w:rPr>
      </w:pPr>
      <w:r>
        <w:rPr>
          <w:szCs w:val="22"/>
        </w:rPr>
        <w:t>a</w:t>
      </w:r>
      <w:r w:rsidRPr="00413784">
        <w:rPr>
          <w:szCs w:val="22"/>
        </w:rPr>
        <w:t>rba</w:t>
      </w:r>
    </w:p>
    <w:p w14:paraId="2AFBAB6A" w14:textId="77777777" w:rsidR="000C579E" w:rsidRDefault="000C579E" w:rsidP="00912BDF">
      <w:pPr>
        <w:rPr>
          <w:szCs w:val="22"/>
        </w:rPr>
      </w:pPr>
    </w:p>
    <w:p w14:paraId="334C98E4" w14:textId="66502080" w:rsidR="00912BDF" w:rsidRPr="00A913BF" w:rsidRDefault="00912BDF" w:rsidP="00912BDF">
      <w:pPr>
        <w:rPr>
          <w:szCs w:val="22"/>
        </w:rPr>
      </w:pPr>
      <w:r w:rsidRPr="00A913BF">
        <w:rPr>
          <w:szCs w:val="22"/>
        </w:rPr>
        <w:t>AstraZeneca AB</w:t>
      </w:r>
    </w:p>
    <w:p w14:paraId="1C9229DD" w14:textId="77777777" w:rsidR="00912BDF" w:rsidRPr="00A913BF" w:rsidRDefault="00912BDF" w:rsidP="00912BDF">
      <w:pPr>
        <w:rPr>
          <w:szCs w:val="22"/>
        </w:rPr>
      </w:pPr>
      <w:r w:rsidRPr="00A913BF">
        <w:rPr>
          <w:szCs w:val="22"/>
        </w:rPr>
        <w:t>S-151 85 Södertälje</w:t>
      </w:r>
    </w:p>
    <w:p w14:paraId="2E5CBE41" w14:textId="77777777" w:rsidR="00912BDF" w:rsidRPr="00A913BF" w:rsidRDefault="00912BDF" w:rsidP="00912BDF">
      <w:pPr>
        <w:rPr>
          <w:szCs w:val="22"/>
        </w:rPr>
      </w:pPr>
      <w:r w:rsidRPr="00A913BF">
        <w:rPr>
          <w:szCs w:val="22"/>
        </w:rPr>
        <w:t>Švedija</w:t>
      </w:r>
    </w:p>
    <w:p w14:paraId="36FB9B94" w14:textId="5F9172B0" w:rsidR="00912BDF" w:rsidRPr="00A913BF" w:rsidRDefault="00912BDF" w:rsidP="00912BDF">
      <w:pPr>
        <w:rPr>
          <w:szCs w:val="22"/>
        </w:rPr>
      </w:pPr>
    </w:p>
    <w:p w14:paraId="3764396F" w14:textId="77777777" w:rsidR="00912BDF" w:rsidRPr="00A913BF" w:rsidRDefault="00912BDF" w:rsidP="00912BDF">
      <w:pPr>
        <w:rPr>
          <w:szCs w:val="22"/>
        </w:rPr>
      </w:pPr>
      <w:r w:rsidRPr="00A913BF">
        <w:rPr>
          <w:szCs w:val="22"/>
        </w:rPr>
        <w:t>arba</w:t>
      </w:r>
    </w:p>
    <w:p w14:paraId="1AFC1E95" w14:textId="77777777" w:rsidR="00912BDF" w:rsidRPr="00A913BF" w:rsidRDefault="00912BDF" w:rsidP="00912BDF">
      <w:pPr>
        <w:rPr>
          <w:szCs w:val="22"/>
        </w:rPr>
      </w:pPr>
    </w:p>
    <w:p w14:paraId="552E0A00" w14:textId="77777777" w:rsidR="00912BDF" w:rsidRPr="00A913BF" w:rsidRDefault="00912BDF" w:rsidP="00912BDF">
      <w:pPr>
        <w:rPr>
          <w:szCs w:val="22"/>
        </w:rPr>
      </w:pPr>
      <w:r w:rsidRPr="00A913BF">
        <w:rPr>
          <w:szCs w:val="22"/>
        </w:rPr>
        <w:t xml:space="preserve">AstraZeneca GmbH </w:t>
      </w:r>
    </w:p>
    <w:p w14:paraId="624293F7" w14:textId="77777777" w:rsidR="00912BDF" w:rsidRPr="00A913BF" w:rsidRDefault="00912BDF" w:rsidP="00912BDF">
      <w:pPr>
        <w:rPr>
          <w:szCs w:val="22"/>
        </w:rPr>
      </w:pPr>
      <w:r w:rsidRPr="00A913BF">
        <w:rPr>
          <w:szCs w:val="22"/>
        </w:rPr>
        <w:t>Tinsdaler Weg 183</w:t>
      </w:r>
    </w:p>
    <w:p w14:paraId="2F334F23" w14:textId="77777777" w:rsidR="00912BDF" w:rsidRPr="00A913BF" w:rsidRDefault="00912BDF" w:rsidP="00912BDF">
      <w:pPr>
        <w:rPr>
          <w:szCs w:val="22"/>
        </w:rPr>
      </w:pPr>
      <w:r w:rsidRPr="00A913BF">
        <w:rPr>
          <w:szCs w:val="22"/>
        </w:rPr>
        <w:t>22880 Wedel</w:t>
      </w:r>
    </w:p>
    <w:p w14:paraId="5E6FB479" w14:textId="77777777" w:rsidR="00912BDF" w:rsidRPr="00A913BF" w:rsidRDefault="00912BDF" w:rsidP="00912BDF">
      <w:pPr>
        <w:rPr>
          <w:szCs w:val="22"/>
        </w:rPr>
      </w:pPr>
      <w:r w:rsidRPr="00A913BF">
        <w:rPr>
          <w:szCs w:val="22"/>
        </w:rPr>
        <w:t>Vokietija</w:t>
      </w:r>
    </w:p>
    <w:p w14:paraId="7E6B8016" w14:textId="77777777" w:rsidR="00912BDF" w:rsidRPr="00A913BF" w:rsidRDefault="00912BDF" w:rsidP="00912BDF">
      <w:pPr>
        <w:rPr>
          <w:szCs w:val="22"/>
        </w:rPr>
      </w:pPr>
    </w:p>
    <w:p w14:paraId="7D1DCF0A" w14:textId="77777777" w:rsidR="00912BDF" w:rsidRPr="00A913BF" w:rsidRDefault="00912BDF" w:rsidP="00912BDF">
      <w:pPr>
        <w:rPr>
          <w:szCs w:val="22"/>
        </w:rPr>
      </w:pPr>
    </w:p>
    <w:p w14:paraId="7B9CA6FE" w14:textId="77777777" w:rsidR="00912BDF" w:rsidRPr="00A913BF" w:rsidRDefault="00912BDF" w:rsidP="00912BDF">
      <w:pPr>
        <w:tabs>
          <w:tab w:val="left" w:pos="567"/>
        </w:tabs>
        <w:ind w:left="567" w:hanging="567"/>
        <w:rPr>
          <w:snapToGrid w:val="0"/>
          <w:szCs w:val="22"/>
        </w:rPr>
      </w:pPr>
      <w:r w:rsidRPr="00A913BF">
        <w:rPr>
          <w:b/>
          <w:snapToGrid w:val="0"/>
          <w:szCs w:val="22"/>
        </w:rPr>
        <w:t>B.</w:t>
      </w:r>
      <w:r w:rsidRPr="00A913BF">
        <w:rPr>
          <w:b/>
          <w:snapToGrid w:val="0"/>
          <w:szCs w:val="22"/>
        </w:rPr>
        <w:tab/>
        <w:t>TIEKIMO IR VARTOJIMO SĄLYGOS AR APRIBOJIMAI</w:t>
      </w:r>
    </w:p>
    <w:p w14:paraId="43BF61EC" w14:textId="77777777" w:rsidR="00912BDF" w:rsidRPr="00A913BF" w:rsidRDefault="00912BDF" w:rsidP="00912BDF">
      <w:pPr>
        <w:tabs>
          <w:tab w:val="left" w:pos="567"/>
        </w:tabs>
        <w:spacing w:line="260" w:lineRule="exact"/>
        <w:rPr>
          <w:snapToGrid w:val="0"/>
          <w:szCs w:val="22"/>
        </w:rPr>
      </w:pPr>
    </w:p>
    <w:p w14:paraId="201C7A1F" w14:textId="77777777" w:rsidR="00912BDF" w:rsidRPr="00A913BF" w:rsidRDefault="00912BDF" w:rsidP="00912BDF">
      <w:pPr>
        <w:rPr>
          <w:szCs w:val="22"/>
        </w:rPr>
      </w:pPr>
      <w:r w:rsidRPr="00A913BF">
        <w:rPr>
          <w:szCs w:val="22"/>
        </w:rPr>
        <w:t>Receptinis vaistinis preparatas</w:t>
      </w:r>
    </w:p>
    <w:p w14:paraId="7F85B380" w14:textId="77777777" w:rsidR="00912BDF" w:rsidRPr="00A913BF" w:rsidRDefault="00912BDF" w:rsidP="00912BDF">
      <w:pPr>
        <w:rPr>
          <w:szCs w:val="22"/>
        </w:rPr>
      </w:pPr>
    </w:p>
    <w:p w14:paraId="47443733" w14:textId="77777777" w:rsidR="00912BDF" w:rsidRPr="00A913BF" w:rsidRDefault="00912BDF" w:rsidP="00912BDF">
      <w:pPr>
        <w:rPr>
          <w:szCs w:val="22"/>
        </w:rPr>
      </w:pPr>
    </w:p>
    <w:p w14:paraId="1F06898E" w14:textId="77777777" w:rsidR="00912BDF" w:rsidRPr="00A913BF" w:rsidRDefault="00912BDF" w:rsidP="00912BDF">
      <w:pPr>
        <w:rPr>
          <w:szCs w:val="22"/>
        </w:rPr>
      </w:pPr>
    </w:p>
    <w:p w14:paraId="58D7C0E2" w14:textId="77777777" w:rsidR="00912BDF" w:rsidRPr="00A913BF" w:rsidRDefault="00912BDF" w:rsidP="00912BDF">
      <w:pPr>
        <w:rPr>
          <w:szCs w:val="22"/>
        </w:rPr>
      </w:pPr>
    </w:p>
    <w:p w14:paraId="680F960F" w14:textId="77777777" w:rsidR="00912BDF" w:rsidRPr="00A913BF" w:rsidRDefault="00912BDF" w:rsidP="00912BDF">
      <w:pPr>
        <w:rPr>
          <w:szCs w:val="22"/>
        </w:rPr>
      </w:pPr>
    </w:p>
    <w:p w14:paraId="38FCB63C" w14:textId="77777777" w:rsidR="00912BDF" w:rsidRPr="00A913BF" w:rsidRDefault="00912BDF" w:rsidP="00912BDF">
      <w:pPr>
        <w:rPr>
          <w:szCs w:val="22"/>
        </w:rPr>
      </w:pPr>
    </w:p>
    <w:p w14:paraId="51E7EE24" w14:textId="77777777" w:rsidR="00912BDF" w:rsidRPr="00A913BF" w:rsidRDefault="00912BDF" w:rsidP="00912BDF">
      <w:pPr>
        <w:rPr>
          <w:szCs w:val="22"/>
        </w:rPr>
      </w:pPr>
    </w:p>
    <w:p w14:paraId="49A7CCD2" w14:textId="77777777" w:rsidR="00912BDF" w:rsidRPr="00A913BF" w:rsidRDefault="00912BDF" w:rsidP="00912BDF">
      <w:pPr>
        <w:rPr>
          <w:szCs w:val="22"/>
        </w:rPr>
      </w:pPr>
    </w:p>
    <w:p w14:paraId="456963CA" w14:textId="77777777" w:rsidR="00912BDF" w:rsidRPr="00A913BF" w:rsidRDefault="00912BDF" w:rsidP="00912BDF">
      <w:pPr>
        <w:jc w:val="center"/>
        <w:rPr>
          <w:b/>
          <w:szCs w:val="22"/>
        </w:rPr>
      </w:pPr>
      <w:r w:rsidRPr="00A913BF">
        <w:rPr>
          <w:szCs w:val="22"/>
        </w:rPr>
        <w:br w:type="page"/>
      </w:r>
    </w:p>
    <w:p w14:paraId="77260B81" w14:textId="77777777" w:rsidR="00912BDF" w:rsidRPr="00A913BF" w:rsidRDefault="00912BDF" w:rsidP="00912BDF">
      <w:pPr>
        <w:jc w:val="center"/>
        <w:rPr>
          <w:b/>
          <w:szCs w:val="22"/>
        </w:rPr>
      </w:pPr>
    </w:p>
    <w:p w14:paraId="09944CE0" w14:textId="77777777" w:rsidR="00912BDF" w:rsidRPr="00A913BF" w:rsidRDefault="00912BDF" w:rsidP="00912BDF">
      <w:pPr>
        <w:jc w:val="center"/>
        <w:rPr>
          <w:b/>
          <w:szCs w:val="22"/>
        </w:rPr>
      </w:pPr>
    </w:p>
    <w:p w14:paraId="1955EE57" w14:textId="77777777" w:rsidR="00912BDF" w:rsidRPr="00A913BF" w:rsidRDefault="00912BDF" w:rsidP="00912BDF">
      <w:pPr>
        <w:jc w:val="center"/>
        <w:rPr>
          <w:b/>
          <w:szCs w:val="22"/>
        </w:rPr>
      </w:pPr>
    </w:p>
    <w:p w14:paraId="10A54597" w14:textId="77777777" w:rsidR="00912BDF" w:rsidRPr="00A913BF" w:rsidRDefault="00912BDF" w:rsidP="00912BDF">
      <w:pPr>
        <w:jc w:val="center"/>
        <w:rPr>
          <w:b/>
          <w:szCs w:val="22"/>
        </w:rPr>
      </w:pPr>
    </w:p>
    <w:p w14:paraId="2F6B7E5C" w14:textId="77777777" w:rsidR="00912BDF" w:rsidRPr="00A913BF" w:rsidRDefault="00912BDF" w:rsidP="00912BDF">
      <w:pPr>
        <w:jc w:val="center"/>
        <w:rPr>
          <w:b/>
          <w:szCs w:val="22"/>
        </w:rPr>
      </w:pPr>
    </w:p>
    <w:p w14:paraId="49DB545B" w14:textId="77777777" w:rsidR="00912BDF" w:rsidRPr="00A913BF" w:rsidRDefault="00912BDF" w:rsidP="00912BDF">
      <w:pPr>
        <w:jc w:val="center"/>
        <w:rPr>
          <w:b/>
          <w:szCs w:val="22"/>
        </w:rPr>
      </w:pPr>
    </w:p>
    <w:p w14:paraId="7E400517" w14:textId="77777777" w:rsidR="00912BDF" w:rsidRPr="00A913BF" w:rsidRDefault="00912BDF" w:rsidP="00912BDF">
      <w:pPr>
        <w:jc w:val="center"/>
        <w:rPr>
          <w:b/>
          <w:szCs w:val="22"/>
        </w:rPr>
      </w:pPr>
    </w:p>
    <w:p w14:paraId="791041FB" w14:textId="77777777" w:rsidR="00912BDF" w:rsidRPr="00A913BF" w:rsidRDefault="00912BDF" w:rsidP="00912BDF">
      <w:pPr>
        <w:jc w:val="center"/>
        <w:rPr>
          <w:b/>
          <w:szCs w:val="22"/>
        </w:rPr>
      </w:pPr>
    </w:p>
    <w:p w14:paraId="7FC0397C" w14:textId="77777777" w:rsidR="00912BDF" w:rsidRPr="00A913BF" w:rsidRDefault="00912BDF" w:rsidP="00912BDF">
      <w:pPr>
        <w:jc w:val="center"/>
        <w:rPr>
          <w:b/>
          <w:szCs w:val="22"/>
        </w:rPr>
      </w:pPr>
    </w:p>
    <w:p w14:paraId="0C6A3B44" w14:textId="77777777" w:rsidR="00912BDF" w:rsidRPr="00A913BF" w:rsidRDefault="00912BDF" w:rsidP="00912BDF">
      <w:pPr>
        <w:jc w:val="center"/>
        <w:rPr>
          <w:b/>
          <w:szCs w:val="22"/>
        </w:rPr>
      </w:pPr>
    </w:p>
    <w:p w14:paraId="627064DC" w14:textId="77777777" w:rsidR="00912BDF" w:rsidRPr="00A913BF" w:rsidRDefault="00912BDF" w:rsidP="00912BDF">
      <w:pPr>
        <w:jc w:val="center"/>
        <w:rPr>
          <w:b/>
          <w:szCs w:val="22"/>
        </w:rPr>
      </w:pPr>
    </w:p>
    <w:p w14:paraId="0CDA3EDE" w14:textId="77777777" w:rsidR="00912BDF" w:rsidRPr="00A913BF" w:rsidRDefault="00912BDF" w:rsidP="00912BDF">
      <w:pPr>
        <w:jc w:val="center"/>
        <w:rPr>
          <w:b/>
          <w:szCs w:val="22"/>
        </w:rPr>
      </w:pPr>
    </w:p>
    <w:p w14:paraId="2BAA7030" w14:textId="77777777" w:rsidR="00912BDF" w:rsidRPr="00A913BF" w:rsidRDefault="00912BDF" w:rsidP="00912BDF">
      <w:pPr>
        <w:jc w:val="center"/>
        <w:rPr>
          <w:b/>
          <w:szCs w:val="22"/>
        </w:rPr>
      </w:pPr>
    </w:p>
    <w:p w14:paraId="449EBB5A" w14:textId="77777777" w:rsidR="00912BDF" w:rsidRPr="00A913BF" w:rsidRDefault="00912BDF" w:rsidP="00912BDF">
      <w:pPr>
        <w:jc w:val="center"/>
        <w:rPr>
          <w:b/>
          <w:szCs w:val="22"/>
        </w:rPr>
      </w:pPr>
    </w:p>
    <w:p w14:paraId="18864457" w14:textId="77777777" w:rsidR="00912BDF" w:rsidRPr="00A913BF" w:rsidRDefault="00912BDF" w:rsidP="00912BDF">
      <w:pPr>
        <w:jc w:val="center"/>
        <w:rPr>
          <w:b/>
          <w:szCs w:val="22"/>
        </w:rPr>
      </w:pPr>
    </w:p>
    <w:p w14:paraId="71F86C82" w14:textId="77777777" w:rsidR="00912BDF" w:rsidRPr="00A913BF" w:rsidRDefault="00912BDF" w:rsidP="00912BDF">
      <w:pPr>
        <w:jc w:val="center"/>
        <w:rPr>
          <w:b/>
          <w:szCs w:val="22"/>
        </w:rPr>
      </w:pPr>
    </w:p>
    <w:p w14:paraId="6267AC30" w14:textId="77777777" w:rsidR="00912BDF" w:rsidRPr="00A913BF" w:rsidRDefault="00912BDF" w:rsidP="00912BDF">
      <w:pPr>
        <w:jc w:val="center"/>
        <w:rPr>
          <w:b/>
          <w:szCs w:val="22"/>
        </w:rPr>
      </w:pPr>
    </w:p>
    <w:p w14:paraId="3E459C1B" w14:textId="77777777" w:rsidR="00912BDF" w:rsidRPr="00A913BF" w:rsidRDefault="00912BDF" w:rsidP="00912BDF">
      <w:pPr>
        <w:jc w:val="center"/>
        <w:rPr>
          <w:b/>
          <w:szCs w:val="22"/>
        </w:rPr>
      </w:pPr>
    </w:p>
    <w:p w14:paraId="0F829C84" w14:textId="77777777" w:rsidR="00912BDF" w:rsidRPr="00A913BF" w:rsidRDefault="00912BDF" w:rsidP="00912BDF">
      <w:pPr>
        <w:jc w:val="center"/>
        <w:rPr>
          <w:b/>
          <w:szCs w:val="22"/>
        </w:rPr>
      </w:pPr>
    </w:p>
    <w:p w14:paraId="20BB2C3A" w14:textId="77777777" w:rsidR="00912BDF" w:rsidRPr="00A913BF" w:rsidRDefault="00912BDF" w:rsidP="00912BDF">
      <w:pPr>
        <w:jc w:val="center"/>
        <w:rPr>
          <w:b/>
          <w:szCs w:val="22"/>
        </w:rPr>
      </w:pPr>
    </w:p>
    <w:p w14:paraId="479C705B" w14:textId="77777777" w:rsidR="00912BDF" w:rsidRPr="00A913BF" w:rsidRDefault="00912BDF" w:rsidP="00912BDF">
      <w:pPr>
        <w:jc w:val="center"/>
        <w:rPr>
          <w:b/>
          <w:szCs w:val="22"/>
        </w:rPr>
      </w:pPr>
    </w:p>
    <w:p w14:paraId="578F313E" w14:textId="77777777" w:rsidR="00912BDF" w:rsidRPr="00A913BF" w:rsidRDefault="00912BDF" w:rsidP="00912BDF">
      <w:pPr>
        <w:jc w:val="center"/>
        <w:rPr>
          <w:b/>
          <w:szCs w:val="22"/>
        </w:rPr>
      </w:pPr>
    </w:p>
    <w:p w14:paraId="2B60FDBA" w14:textId="77777777" w:rsidR="00912BDF" w:rsidRPr="00A913BF" w:rsidRDefault="00912BDF" w:rsidP="00912BDF">
      <w:pPr>
        <w:jc w:val="center"/>
        <w:rPr>
          <w:b/>
          <w:szCs w:val="22"/>
        </w:rPr>
      </w:pPr>
      <w:r w:rsidRPr="00A913BF">
        <w:rPr>
          <w:b/>
          <w:szCs w:val="22"/>
        </w:rPr>
        <w:t>III PRIEDAS</w:t>
      </w:r>
    </w:p>
    <w:p w14:paraId="42F2991E" w14:textId="77777777" w:rsidR="00912BDF" w:rsidRPr="00A913BF" w:rsidRDefault="00912BDF" w:rsidP="00912BDF">
      <w:pPr>
        <w:jc w:val="center"/>
        <w:rPr>
          <w:b/>
          <w:szCs w:val="22"/>
        </w:rPr>
      </w:pPr>
    </w:p>
    <w:p w14:paraId="6FE8F7DA" w14:textId="77777777" w:rsidR="00912BDF" w:rsidRPr="00A913BF" w:rsidRDefault="00912BDF" w:rsidP="00912BDF">
      <w:pPr>
        <w:jc w:val="center"/>
        <w:rPr>
          <w:b/>
          <w:szCs w:val="22"/>
        </w:rPr>
      </w:pPr>
      <w:r w:rsidRPr="00A913BF">
        <w:rPr>
          <w:b/>
          <w:szCs w:val="22"/>
        </w:rPr>
        <w:t>ŽENKLINIMAS IR PAKUOTĖS LAPELIS</w:t>
      </w:r>
    </w:p>
    <w:p w14:paraId="57794BDF" w14:textId="77777777" w:rsidR="00912BDF" w:rsidRPr="00A913BF" w:rsidRDefault="00912BDF" w:rsidP="00912BDF">
      <w:pPr>
        <w:jc w:val="center"/>
        <w:rPr>
          <w:b/>
          <w:szCs w:val="22"/>
        </w:rPr>
      </w:pPr>
      <w:r w:rsidRPr="00A913BF">
        <w:rPr>
          <w:b/>
          <w:szCs w:val="22"/>
        </w:rPr>
        <w:br w:type="page"/>
      </w:r>
    </w:p>
    <w:p w14:paraId="63609695" w14:textId="77777777" w:rsidR="00912BDF" w:rsidRPr="00A913BF" w:rsidRDefault="00912BDF" w:rsidP="00912BDF">
      <w:pPr>
        <w:jc w:val="center"/>
        <w:rPr>
          <w:szCs w:val="22"/>
        </w:rPr>
      </w:pPr>
    </w:p>
    <w:p w14:paraId="0B7DB38A" w14:textId="77777777" w:rsidR="00912BDF" w:rsidRPr="00A913BF" w:rsidRDefault="00912BDF" w:rsidP="00912BDF">
      <w:pPr>
        <w:jc w:val="center"/>
        <w:rPr>
          <w:szCs w:val="22"/>
        </w:rPr>
      </w:pPr>
    </w:p>
    <w:p w14:paraId="705D6DB3" w14:textId="77777777" w:rsidR="00912BDF" w:rsidRPr="00A913BF" w:rsidRDefault="00912BDF" w:rsidP="00912BDF">
      <w:pPr>
        <w:jc w:val="center"/>
        <w:rPr>
          <w:szCs w:val="22"/>
        </w:rPr>
      </w:pPr>
    </w:p>
    <w:p w14:paraId="4B46718D" w14:textId="77777777" w:rsidR="00912BDF" w:rsidRPr="00A913BF" w:rsidRDefault="00912BDF" w:rsidP="00912BDF">
      <w:pPr>
        <w:jc w:val="center"/>
        <w:rPr>
          <w:szCs w:val="22"/>
        </w:rPr>
      </w:pPr>
    </w:p>
    <w:p w14:paraId="687EFC12" w14:textId="77777777" w:rsidR="00912BDF" w:rsidRPr="00A913BF" w:rsidRDefault="00912BDF" w:rsidP="00912BDF">
      <w:pPr>
        <w:jc w:val="center"/>
        <w:rPr>
          <w:szCs w:val="22"/>
        </w:rPr>
      </w:pPr>
    </w:p>
    <w:p w14:paraId="6A99342D" w14:textId="77777777" w:rsidR="00912BDF" w:rsidRPr="00A913BF" w:rsidRDefault="00912BDF" w:rsidP="00912BDF">
      <w:pPr>
        <w:jc w:val="center"/>
        <w:rPr>
          <w:szCs w:val="22"/>
        </w:rPr>
      </w:pPr>
    </w:p>
    <w:p w14:paraId="127382EF" w14:textId="77777777" w:rsidR="00912BDF" w:rsidRPr="00A913BF" w:rsidRDefault="00912BDF" w:rsidP="00912BDF">
      <w:pPr>
        <w:jc w:val="center"/>
        <w:rPr>
          <w:szCs w:val="22"/>
        </w:rPr>
      </w:pPr>
    </w:p>
    <w:p w14:paraId="7472C378" w14:textId="77777777" w:rsidR="00912BDF" w:rsidRPr="00A913BF" w:rsidRDefault="00912BDF" w:rsidP="00912BDF">
      <w:pPr>
        <w:jc w:val="center"/>
        <w:rPr>
          <w:szCs w:val="22"/>
        </w:rPr>
      </w:pPr>
    </w:p>
    <w:p w14:paraId="71C1B8B8" w14:textId="77777777" w:rsidR="00912BDF" w:rsidRPr="00A913BF" w:rsidRDefault="00912BDF" w:rsidP="00912BDF">
      <w:pPr>
        <w:jc w:val="center"/>
        <w:rPr>
          <w:szCs w:val="22"/>
        </w:rPr>
      </w:pPr>
    </w:p>
    <w:p w14:paraId="2FD85ADD" w14:textId="77777777" w:rsidR="00912BDF" w:rsidRPr="00A913BF" w:rsidRDefault="00912BDF" w:rsidP="00912BDF">
      <w:pPr>
        <w:jc w:val="center"/>
        <w:rPr>
          <w:szCs w:val="22"/>
        </w:rPr>
      </w:pPr>
    </w:p>
    <w:p w14:paraId="1A22990B" w14:textId="77777777" w:rsidR="00912BDF" w:rsidRPr="00A913BF" w:rsidRDefault="00912BDF" w:rsidP="00912BDF">
      <w:pPr>
        <w:jc w:val="center"/>
        <w:rPr>
          <w:szCs w:val="22"/>
        </w:rPr>
      </w:pPr>
    </w:p>
    <w:p w14:paraId="3C55FCC9" w14:textId="77777777" w:rsidR="00912BDF" w:rsidRPr="00A913BF" w:rsidRDefault="00912BDF" w:rsidP="00912BDF">
      <w:pPr>
        <w:jc w:val="center"/>
        <w:rPr>
          <w:szCs w:val="22"/>
        </w:rPr>
      </w:pPr>
    </w:p>
    <w:p w14:paraId="49CF70ED" w14:textId="77777777" w:rsidR="00912BDF" w:rsidRPr="00A913BF" w:rsidRDefault="00912BDF" w:rsidP="00912BDF">
      <w:pPr>
        <w:jc w:val="center"/>
        <w:rPr>
          <w:szCs w:val="22"/>
        </w:rPr>
      </w:pPr>
    </w:p>
    <w:p w14:paraId="362C1FFF" w14:textId="77777777" w:rsidR="00912BDF" w:rsidRPr="00A913BF" w:rsidRDefault="00912BDF" w:rsidP="00912BDF">
      <w:pPr>
        <w:jc w:val="center"/>
        <w:rPr>
          <w:szCs w:val="22"/>
        </w:rPr>
      </w:pPr>
    </w:p>
    <w:p w14:paraId="55D442B1" w14:textId="77777777" w:rsidR="00912BDF" w:rsidRPr="00A913BF" w:rsidRDefault="00912BDF" w:rsidP="00912BDF">
      <w:pPr>
        <w:jc w:val="center"/>
        <w:rPr>
          <w:szCs w:val="22"/>
        </w:rPr>
      </w:pPr>
    </w:p>
    <w:p w14:paraId="4B0F5DF6" w14:textId="77777777" w:rsidR="00912BDF" w:rsidRPr="00A913BF" w:rsidRDefault="00912BDF" w:rsidP="00912BDF">
      <w:pPr>
        <w:jc w:val="center"/>
        <w:rPr>
          <w:szCs w:val="22"/>
        </w:rPr>
      </w:pPr>
    </w:p>
    <w:p w14:paraId="27948228" w14:textId="77777777" w:rsidR="00912BDF" w:rsidRPr="00A913BF" w:rsidRDefault="00912BDF" w:rsidP="00912BDF">
      <w:pPr>
        <w:jc w:val="center"/>
        <w:rPr>
          <w:szCs w:val="22"/>
        </w:rPr>
      </w:pPr>
    </w:p>
    <w:p w14:paraId="0751FF91" w14:textId="77777777" w:rsidR="00912BDF" w:rsidRPr="00A913BF" w:rsidRDefault="00912BDF" w:rsidP="00912BDF">
      <w:pPr>
        <w:jc w:val="center"/>
        <w:rPr>
          <w:szCs w:val="22"/>
        </w:rPr>
      </w:pPr>
    </w:p>
    <w:p w14:paraId="6FC618A4" w14:textId="77777777" w:rsidR="00912BDF" w:rsidRPr="00A913BF" w:rsidRDefault="00912BDF" w:rsidP="00912BDF">
      <w:pPr>
        <w:jc w:val="center"/>
        <w:rPr>
          <w:szCs w:val="22"/>
        </w:rPr>
      </w:pPr>
    </w:p>
    <w:p w14:paraId="1DAC49E9" w14:textId="77777777" w:rsidR="00912BDF" w:rsidRPr="00A913BF" w:rsidRDefault="00912BDF" w:rsidP="00912BDF">
      <w:pPr>
        <w:jc w:val="center"/>
        <w:rPr>
          <w:szCs w:val="22"/>
        </w:rPr>
      </w:pPr>
    </w:p>
    <w:p w14:paraId="759C2CB5" w14:textId="77777777" w:rsidR="00912BDF" w:rsidRPr="00A913BF" w:rsidRDefault="00912BDF" w:rsidP="00912BDF">
      <w:pPr>
        <w:jc w:val="center"/>
        <w:rPr>
          <w:szCs w:val="22"/>
        </w:rPr>
      </w:pPr>
    </w:p>
    <w:p w14:paraId="036C1D62" w14:textId="77777777" w:rsidR="00912BDF" w:rsidRPr="00A913BF" w:rsidRDefault="00912BDF" w:rsidP="00912BDF">
      <w:pPr>
        <w:jc w:val="center"/>
        <w:rPr>
          <w:b/>
          <w:szCs w:val="22"/>
        </w:rPr>
      </w:pPr>
    </w:p>
    <w:p w14:paraId="65AFF55E" w14:textId="77777777" w:rsidR="00912BDF" w:rsidRPr="00A913BF" w:rsidRDefault="00912BDF" w:rsidP="00912BDF">
      <w:pPr>
        <w:ind w:left="360"/>
        <w:jc w:val="center"/>
        <w:rPr>
          <w:b/>
          <w:bCs/>
          <w:szCs w:val="22"/>
        </w:rPr>
      </w:pPr>
      <w:r w:rsidRPr="00A913BF">
        <w:rPr>
          <w:b/>
          <w:bCs/>
          <w:szCs w:val="22"/>
        </w:rPr>
        <w:t>A. ŽENKLINIMAS</w:t>
      </w:r>
    </w:p>
    <w:p w14:paraId="2A64FCE7" w14:textId="77777777" w:rsidR="00912BDF" w:rsidRPr="00A913BF" w:rsidRDefault="00912BDF" w:rsidP="00912BDF">
      <w:pPr>
        <w:shd w:val="clear" w:color="auto" w:fill="FFFFFF"/>
        <w:rPr>
          <w:szCs w:val="22"/>
        </w:rPr>
      </w:pPr>
      <w:r w:rsidRPr="00A913BF">
        <w:rPr>
          <w:szCs w:val="22"/>
        </w:rPr>
        <w:br w:type="page"/>
      </w:r>
    </w:p>
    <w:p w14:paraId="7F46F704" w14:textId="77777777" w:rsidR="00912BDF" w:rsidRPr="00A913BF" w:rsidRDefault="00912BDF" w:rsidP="00912BDF">
      <w:pPr>
        <w:pBdr>
          <w:top w:val="single" w:sz="4" w:space="1" w:color="auto"/>
          <w:left w:val="single" w:sz="4" w:space="4" w:color="auto"/>
          <w:bottom w:val="single" w:sz="4" w:space="1" w:color="auto"/>
          <w:right w:val="single" w:sz="4" w:space="4" w:color="auto"/>
        </w:pBdr>
        <w:rPr>
          <w:b/>
          <w:szCs w:val="22"/>
        </w:rPr>
      </w:pPr>
      <w:r w:rsidRPr="00A913BF">
        <w:rPr>
          <w:b/>
          <w:szCs w:val="22"/>
        </w:rPr>
        <w:lastRenderedPageBreak/>
        <w:t>INFORMACIJA ANT IŠORINĖS PAKUOTĖS</w:t>
      </w:r>
    </w:p>
    <w:p w14:paraId="607F5122" w14:textId="77777777" w:rsidR="00912BDF" w:rsidRPr="00A913BF" w:rsidRDefault="00912BDF" w:rsidP="00912BDF">
      <w:pPr>
        <w:pBdr>
          <w:top w:val="single" w:sz="4" w:space="1" w:color="auto"/>
          <w:left w:val="single" w:sz="4" w:space="4" w:color="auto"/>
          <w:bottom w:val="single" w:sz="4" w:space="1" w:color="auto"/>
          <w:right w:val="single" w:sz="4" w:space="4" w:color="auto"/>
        </w:pBdr>
        <w:rPr>
          <w:b/>
          <w:bCs/>
          <w:szCs w:val="22"/>
        </w:rPr>
      </w:pPr>
    </w:p>
    <w:p w14:paraId="0F5868C9" w14:textId="77777777" w:rsidR="00912BDF" w:rsidRPr="00A913BF" w:rsidRDefault="00912BDF" w:rsidP="00912BDF">
      <w:pPr>
        <w:pBdr>
          <w:top w:val="single" w:sz="4" w:space="1" w:color="auto"/>
          <w:left w:val="single" w:sz="4" w:space="4" w:color="auto"/>
          <w:bottom w:val="single" w:sz="4" w:space="1" w:color="auto"/>
          <w:right w:val="single" w:sz="4" w:space="4" w:color="auto"/>
        </w:pBdr>
        <w:rPr>
          <w:b/>
          <w:bCs/>
          <w:szCs w:val="22"/>
        </w:rPr>
      </w:pPr>
      <w:r w:rsidRPr="00A913BF">
        <w:rPr>
          <w:b/>
          <w:bCs/>
          <w:szCs w:val="22"/>
        </w:rPr>
        <w:t>LIZDINIŲ PLOKŠTELIŲ DĖŽUTĖ / BUTELIUKO DĖŽUTĖ</w:t>
      </w:r>
    </w:p>
    <w:p w14:paraId="4DB89BEB" w14:textId="77777777" w:rsidR="00912BDF" w:rsidRPr="00A913BF" w:rsidRDefault="00912BDF" w:rsidP="00912BDF">
      <w:pPr>
        <w:rPr>
          <w:b/>
          <w:bCs/>
          <w:szCs w:val="22"/>
        </w:rPr>
      </w:pPr>
    </w:p>
    <w:p w14:paraId="3E42695A" w14:textId="77777777" w:rsidR="00912BDF" w:rsidRPr="00A913BF" w:rsidRDefault="00912BDF" w:rsidP="00912BDF">
      <w:pPr>
        <w:rPr>
          <w:b/>
          <w:bCs/>
          <w:szCs w:val="22"/>
        </w:rPr>
      </w:pPr>
    </w:p>
    <w:p w14:paraId="14D07984"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67" w:hanging="567"/>
        <w:outlineLvl w:val="0"/>
        <w:rPr>
          <w:szCs w:val="22"/>
        </w:rPr>
      </w:pPr>
      <w:r w:rsidRPr="00A913BF">
        <w:rPr>
          <w:b/>
          <w:szCs w:val="22"/>
        </w:rPr>
        <w:t>1.</w:t>
      </w:r>
      <w:r w:rsidRPr="00A913BF">
        <w:rPr>
          <w:b/>
          <w:szCs w:val="22"/>
        </w:rPr>
        <w:tab/>
        <w:t>VAISTINIO PREPARATO PAVADINIMAS</w:t>
      </w:r>
    </w:p>
    <w:p w14:paraId="1CD26BF0" w14:textId="77777777" w:rsidR="00912BDF" w:rsidRPr="00A913BF" w:rsidRDefault="00912BDF" w:rsidP="00912BDF">
      <w:pPr>
        <w:rPr>
          <w:szCs w:val="22"/>
        </w:rPr>
      </w:pPr>
    </w:p>
    <w:p w14:paraId="4F838564" w14:textId="77777777" w:rsidR="00912BDF" w:rsidRPr="00A913BF" w:rsidRDefault="00912BDF" w:rsidP="00912BDF">
      <w:pPr>
        <w:autoSpaceDE w:val="0"/>
        <w:autoSpaceDN w:val="0"/>
        <w:adjustRightInd w:val="0"/>
        <w:rPr>
          <w:szCs w:val="22"/>
          <w:lang w:eastAsia="lt-LT"/>
        </w:rPr>
      </w:pPr>
      <w:r w:rsidRPr="00A913BF">
        <w:rPr>
          <w:szCs w:val="22"/>
          <w:lang w:eastAsia="lt-LT"/>
        </w:rPr>
        <w:t>Atacand 4 mg tabletės</w:t>
      </w:r>
    </w:p>
    <w:p w14:paraId="03A137CE" w14:textId="77777777" w:rsidR="00912BDF" w:rsidRPr="00C45350" w:rsidRDefault="00912BDF" w:rsidP="00912BDF">
      <w:pPr>
        <w:autoSpaceDE w:val="0"/>
        <w:autoSpaceDN w:val="0"/>
        <w:adjustRightInd w:val="0"/>
        <w:rPr>
          <w:highlight w:val="lightGray"/>
        </w:rPr>
      </w:pPr>
      <w:r w:rsidRPr="00C45350">
        <w:rPr>
          <w:highlight w:val="lightGray"/>
        </w:rPr>
        <w:t>Atacand 8 mg tabletės</w:t>
      </w:r>
    </w:p>
    <w:p w14:paraId="5AE69195" w14:textId="77777777" w:rsidR="00912BDF" w:rsidRPr="00C45350" w:rsidRDefault="00912BDF" w:rsidP="00912BDF">
      <w:pPr>
        <w:autoSpaceDE w:val="0"/>
        <w:autoSpaceDN w:val="0"/>
        <w:adjustRightInd w:val="0"/>
        <w:rPr>
          <w:highlight w:val="lightGray"/>
        </w:rPr>
      </w:pPr>
      <w:r w:rsidRPr="00C45350">
        <w:rPr>
          <w:highlight w:val="lightGray"/>
        </w:rPr>
        <w:t>Atacand 16 mg tabletės</w:t>
      </w:r>
    </w:p>
    <w:p w14:paraId="5A6BE05D" w14:textId="77777777" w:rsidR="00912BDF" w:rsidRPr="00A913BF" w:rsidRDefault="00912BDF" w:rsidP="00912BDF">
      <w:pPr>
        <w:autoSpaceDE w:val="0"/>
        <w:autoSpaceDN w:val="0"/>
        <w:adjustRightInd w:val="0"/>
        <w:rPr>
          <w:szCs w:val="22"/>
          <w:lang w:eastAsia="lt-LT"/>
        </w:rPr>
      </w:pPr>
      <w:r w:rsidRPr="00C45350">
        <w:rPr>
          <w:highlight w:val="lightGray"/>
        </w:rPr>
        <w:t>Atacand 32 mg tabletės</w:t>
      </w:r>
    </w:p>
    <w:p w14:paraId="778B2473" w14:textId="77777777" w:rsidR="00912BDF" w:rsidRPr="00A913BF" w:rsidRDefault="00912BDF" w:rsidP="00912BDF">
      <w:pPr>
        <w:autoSpaceDE w:val="0"/>
        <w:autoSpaceDN w:val="0"/>
        <w:adjustRightInd w:val="0"/>
        <w:rPr>
          <w:szCs w:val="22"/>
          <w:lang w:eastAsia="lt-LT"/>
        </w:rPr>
      </w:pPr>
    </w:p>
    <w:p w14:paraId="300259B9" w14:textId="77777777" w:rsidR="00912BDF" w:rsidRPr="00A913BF" w:rsidRDefault="00912BDF" w:rsidP="00912BDF">
      <w:pPr>
        <w:rPr>
          <w:szCs w:val="22"/>
        </w:rPr>
      </w:pPr>
      <w:r w:rsidRPr="00A913BF">
        <w:rPr>
          <w:szCs w:val="22"/>
          <w:lang w:eastAsia="lt-LT"/>
        </w:rPr>
        <w:t>Kandesartano cileksetilas</w:t>
      </w:r>
    </w:p>
    <w:p w14:paraId="6538D11E" w14:textId="77777777" w:rsidR="00912BDF" w:rsidRPr="00A913BF" w:rsidRDefault="00912BDF" w:rsidP="00912BDF">
      <w:pPr>
        <w:rPr>
          <w:szCs w:val="22"/>
        </w:rPr>
      </w:pPr>
    </w:p>
    <w:p w14:paraId="4FBB4D9B" w14:textId="77777777" w:rsidR="00912BDF" w:rsidRPr="00A913BF" w:rsidRDefault="00912BDF" w:rsidP="00912BDF">
      <w:pPr>
        <w:rPr>
          <w:szCs w:val="22"/>
        </w:rPr>
      </w:pPr>
    </w:p>
    <w:p w14:paraId="5F9D07C0"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67" w:hanging="567"/>
        <w:outlineLvl w:val="0"/>
        <w:rPr>
          <w:b/>
          <w:szCs w:val="22"/>
        </w:rPr>
      </w:pPr>
      <w:r w:rsidRPr="00A913BF">
        <w:rPr>
          <w:b/>
          <w:szCs w:val="22"/>
        </w:rPr>
        <w:t>2.</w:t>
      </w:r>
      <w:r w:rsidRPr="00A913BF">
        <w:rPr>
          <w:b/>
          <w:szCs w:val="22"/>
        </w:rPr>
        <w:tab/>
        <w:t>VEIKLIOJI (-IOS) MEDŽIAGA (-OS) IR JOS (-Ų) KIEKIS (-IAI)</w:t>
      </w:r>
    </w:p>
    <w:p w14:paraId="263F45CA" w14:textId="77777777" w:rsidR="00912BDF" w:rsidRPr="00A913BF" w:rsidRDefault="00912BDF" w:rsidP="00912BDF">
      <w:pPr>
        <w:rPr>
          <w:szCs w:val="22"/>
        </w:rPr>
      </w:pPr>
    </w:p>
    <w:p w14:paraId="64652595" w14:textId="77777777" w:rsidR="00912BDF" w:rsidRPr="00A913BF" w:rsidRDefault="00912BDF" w:rsidP="00912BDF">
      <w:pPr>
        <w:autoSpaceDE w:val="0"/>
        <w:autoSpaceDN w:val="0"/>
        <w:adjustRightInd w:val="0"/>
        <w:rPr>
          <w:szCs w:val="22"/>
          <w:lang w:eastAsia="lt-LT"/>
        </w:rPr>
      </w:pPr>
      <w:r w:rsidRPr="00A913BF">
        <w:rPr>
          <w:szCs w:val="22"/>
          <w:lang w:eastAsia="lt-LT"/>
        </w:rPr>
        <w:t>Kiekvienoje tabletėje yra 4 mg kandesartano cileksetilo.</w:t>
      </w:r>
    </w:p>
    <w:p w14:paraId="175F9EBF" w14:textId="77777777" w:rsidR="00912BDF" w:rsidRPr="00C45350" w:rsidRDefault="00912BDF" w:rsidP="00912BDF">
      <w:pPr>
        <w:autoSpaceDE w:val="0"/>
        <w:autoSpaceDN w:val="0"/>
        <w:adjustRightInd w:val="0"/>
        <w:rPr>
          <w:highlight w:val="lightGray"/>
        </w:rPr>
      </w:pPr>
      <w:r w:rsidRPr="00C45350">
        <w:rPr>
          <w:highlight w:val="lightGray"/>
        </w:rPr>
        <w:t>Kiekvienoje tabletėje yra 8 mg kandesartano cileksetilo.</w:t>
      </w:r>
    </w:p>
    <w:p w14:paraId="4A59C227" w14:textId="77777777" w:rsidR="00912BDF" w:rsidRPr="00C45350" w:rsidRDefault="00912BDF" w:rsidP="00912BDF">
      <w:pPr>
        <w:autoSpaceDE w:val="0"/>
        <w:autoSpaceDN w:val="0"/>
        <w:adjustRightInd w:val="0"/>
        <w:rPr>
          <w:highlight w:val="lightGray"/>
        </w:rPr>
      </w:pPr>
      <w:r w:rsidRPr="00C45350">
        <w:rPr>
          <w:highlight w:val="lightGray"/>
        </w:rPr>
        <w:t>Kiekvienoje tabletėje yra 16 mg kandesartano cileksetilo.</w:t>
      </w:r>
    </w:p>
    <w:p w14:paraId="707A37EB" w14:textId="77777777" w:rsidR="00912BDF" w:rsidRPr="00A913BF" w:rsidRDefault="00912BDF" w:rsidP="00912BDF">
      <w:pPr>
        <w:rPr>
          <w:szCs w:val="22"/>
        </w:rPr>
      </w:pPr>
      <w:r w:rsidRPr="00C45350">
        <w:rPr>
          <w:highlight w:val="lightGray"/>
        </w:rPr>
        <w:t>Kiekvienoje tabletėje yra 32 mg kandesartano cileksetilo.</w:t>
      </w:r>
    </w:p>
    <w:p w14:paraId="1BC025D7" w14:textId="77777777" w:rsidR="00912BDF" w:rsidRPr="00A913BF" w:rsidRDefault="00912BDF" w:rsidP="00912BDF">
      <w:pPr>
        <w:rPr>
          <w:szCs w:val="22"/>
        </w:rPr>
      </w:pPr>
    </w:p>
    <w:p w14:paraId="35785923" w14:textId="77777777" w:rsidR="00912BDF" w:rsidRPr="00A913BF" w:rsidRDefault="00912BDF" w:rsidP="00912BDF">
      <w:pPr>
        <w:rPr>
          <w:szCs w:val="22"/>
        </w:rPr>
      </w:pPr>
    </w:p>
    <w:p w14:paraId="650057BF" w14:textId="77777777" w:rsidR="00912BDF" w:rsidRPr="00C45350" w:rsidRDefault="00912BDF" w:rsidP="00912BDF">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A913BF">
        <w:rPr>
          <w:b/>
          <w:szCs w:val="22"/>
        </w:rPr>
        <w:t>3.</w:t>
      </w:r>
      <w:r w:rsidRPr="00A913BF">
        <w:rPr>
          <w:b/>
          <w:szCs w:val="22"/>
        </w:rPr>
        <w:tab/>
        <w:t>PAGALBINIŲ MEDŽIAGŲ SĄRAŠAS</w:t>
      </w:r>
    </w:p>
    <w:p w14:paraId="593337E4" w14:textId="77777777" w:rsidR="00912BDF" w:rsidRPr="00A913BF" w:rsidRDefault="00912BDF" w:rsidP="00912BDF">
      <w:pPr>
        <w:rPr>
          <w:szCs w:val="22"/>
        </w:rPr>
      </w:pPr>
    </w:p>
    <w:p w14:paraId="1CF4092F" w14:textId="77777777" w:rsidR="00912BDF" w:rsidRPr="00A913BF" w:rsidRDefault="00912BDF" w:rsidP="00912BDF">
      <w:pPr>
        <w:rPr>
          <w:szCs w:val="22"/>
        </w:rPr>
      </w:pPr>
      <w:r w:rsidRPr="00A913BF">
        <w:rPr>
          <w:szCs w:val="22"/>
        </w:rPr>
        <w:t>Sudėtyje yra laktozės. Daugiau informacijos pateikiama pakuotės lapelyje.</w:t>
      </w:r>
    </w:p>
    <w:p w14:paraId="5911245E" w14:textId="77777777" w:rsidR="00912BDF" w:rsidRPr="00A913BF" w:rsidRDefault="00912BDF" w:rsidP="00912BDF">
      <w:pPr>
        <w:rPr>
          <w:szCs w:val="22"/>
        </w:rPr>
      </w:pPr>
    </w:p>
    <w:p w14:paraId="01AD1141" w14:textId="77777777" w:rsidR="00912BDF" w:rsidRPr="00A913BF" w:rsidRDefault="00912BDF" w:rsidP="00912BDF">
      <w:pPr>
        <w:rPr>
          <w:szCs w:val="22"/>
        </w:rPr>
      </w:pPr>
    </w:p>
    <w:p w14:paraId="677B9BB0"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67" w:hanging="567"/>
        <w:outlineLvl w:val="0"/>
        <w:rPr>
          <w:szCs w:val="22"/>
        </w:rPr>
      </w:pPr>
      <w:r w:rsidRPr="00A913BF">
        <w:rPr>
          <w:b/>
          <w:szCs w:val="22"/>
        </w:rPr>
        <w:t>4.</w:t>
      </w:r>
      <w:r w:rsidRPr="00A913BF">
        <w:rPr>
          <w:b/>
          <w:szCs w:val="22"/>
        </w:rPr>
        <w:tab/>
        <w:t>FARMACINĖ FORMA IR KIEKIS PAKUOTĖJE</w:t>
      </w:r>
    </w:p>
    <w:p w14:paraId="0C10AE2C" w14:textId="77777777" w:rsidR="00912BDF" w:rsidRPr="00A913BF" w:rsidRDefault="00912BDF" w:rsidP="00912BDF">
      <w:pPr>
        <w:rPr>
          <w:szCs w:val="22"/>
        </w:rPr>
      </w:pPr>
    </w:p>
    <w:p w14:paraId="76F6826E" w14:textId="77777777" w:rsidR="00912BDF" w:rsidRPr="00A913BF" w:rsidRDefault="00912BDF" w:rsidP="00912BDF">
      <w:pPr>
        <w:rPr>
          <w:szCs w:val="22"/>
        </w:rPr>
      </w:pPr>
      <w:r w:rsidRPr="00A913BF">
        <w:rPr>
          <w:szCs w:val="22"/>
        </w:rPr>
        <w:t>Lizdinė plokštelė:</w:t>
      </w:r>
    </w:p>
    <w:p w14:paraId="69F6BBDB" w14:textId="77777777" w:rsidR="00912BDF" w:rsidRPr="00A913BF" w:rsidRDefault="00912BDF" w:rsidP="00912BDF">
      <w:pPr>
        <w:rPr>
          <w:szCs w:val="22"/>
          <w:lang w:eastAsia="lt-LT"/>
        </w:rPr>
      </w:pPr>
    </w:p>
    <w:p w14:paraId="3991B12D" w14:textId="77777777" w:rsidR="00912BDF" w:rsidRPr="00A913BF" w:rsidRDefault="00912BDF" w:rsidP="00912BDF">
      <w:pPr>
        <w:rPr>
          <w:szCs w:val="22"/>
        </w:rPr>
      </w:pPr>
      <w:r w:rsidRPr="00A913BF">
        <w:rPr>
          <w:szCs w:val="22"/>
        </w:rPr>
        <w:t>7 tabletės</w:t>
      </w:r>
    </w:p>
    <w:p w14:paraId="2546E56A" w14:textId="77777777" w:rsidR="00912BDF" w:rsidRPr="00C45350" w:rsidRDefault="00912BDF" w:rsidP="00912BDF">
      <w:pPr>
        <w:rPr>
          <w:highlight w:val="lightGray"/>
        </w:rPr>
      </w:pPr>
      <w:r w:rsidRPr="00C45350">
        <w:rPr>
          <w:highlight w:val="lightGray"/>
        </w:rPr>
        <w:t>14 tablečių</w:t>
      </w:r>
    </w:p>
    <w:p w14:paraId="2BDBD3B9" w14:textId="77777777" w:rsidR="00912BDF" w:rsidRPr="00C45350" w:rsidRDefault="00912BDF" w:rsidP="00912BDF">
      <w:pPr>
        <w:rPr>
          <w:highlight w:val="lightGray"/>
        </w:rPr>
      </w:pPr>
      <w:r w:rsidRPr="00C45350">
        <w:rPr>
          <w:highlight w:val="lightGray"/>
        </w:rPr>
        <w:t>15 tablečių</w:t>
      </w:r>
    </w:p>
    <w:p w14:paraId="2B562D3C" w14:textId="77777777" w:rsidR="00912BDF" w:rsidRPr="00C45350" w:rsidRDefault="00912BDF" w:rsidP="00912BDF">
      <w:pPr>
        <w:rPr>
          <w:highlight w:val="lightGray"/>
        </w:rPr>
      </w:pPr>
      <w:r w:rsidRPr="00C45350">
        <w:rPr>
          <w:highlight w:val="lightGray"/>
        </w:rPr>
        <w:t xml:space="preserve">15x1 tablečių </w:t>
      </w:r>
    </w:p>
    <w:p w14:paraId="24122626" w14:textId="77777777" w:rsidR="00912BDF" w:rsidRPr="00C45350" w:rsidRDefault="00912BDF" w:rsidP="00912BDF">
      <w:pPr>
        <w:rPr>
          <w:highlight w:val="lightGray"/>
        </w:rPr>
      </w:pPr>
      <w:r w:rsidRPr="00C45350">
        <w:rPr>
          <w:highlight w:val="lightGray"/>
        </w:rPr>
        <w:t>20 tablečių</w:t>
      </w:r>
    </w:p>
    <w:p w14:paraId="674E40FD" w14:textId="77777777" w:rsidR="00912BDF" w:rsidRPr="00C45350" w:rsidRDefault="00912BDF" w:rsidP="00912BDF">
      <w:pPr>
        <w:rPr>
          <w:highlight w:val="lightGray"/>
        </w:rPr>
      </w:pPr>
      <w:r w:rsidRPr="00C45350">
        <w:rPr>
          <w:highlight w:val="lightGray"/>
        </w:rPr>
        <w:t>28 tabletės</w:t>
      </w:r>
    </w:p>
    <w:p w14:paraId="40202B29" w14:textId="77777777" w:rsidR="00912BDF" w:rsidRPr="00C45350" w:rsidRDefault="00912BDF" w:rsidP="00912BDF">
      <w:pPr>
        <w:rPr>
          <w:highlight w:val="lightGray"/>
        </w:rPr>
      </w:pPr>
      <w:r w:rsidRPr="00C45350">
        <w:rPr>
          <w:highlight w:val="lightGray"/>
        </w:rPr>
        <w:t>30 tablečių</w:t>
      </w:r>
    </w:p>
    <w:p w14:paraId="2D24AA66" w14:textId="77777777" w:rsidR="00912BDF" w:rsidRPr="00C45350" w:rsidRDefault="00912BDF" w:rsidP="00912BDF">
      <w:pPr>
        <w:rPr>
          <w:highlight w:val="lightGray"/>
        </w:rPr>
      </w:pPr>
      <w:r w:rsidRPr="00C45350">
        <w:rPr>
          <w:highlight w:val="lightGray"/>
        </w:rPr>
        <w:t xml:space="preserve">30x1 tablečių </w:t>
      </w:r>
    </w:p>
    <w:p w14:paraId="72A9D11C" w14:textId="77777777" w:rsidR="00912BDF" w:rsidRPr="00C45350" w:rsidRDefault="00912BDF" w:rsidP="00912BDF">
      <w:pPr>
        <w:rPr>
          <w:highlight w:val="lightGray"/>
        </w:rPr>
      </w:pPr>
      <w:r w:rsidRPr="00C45350">
        <w:rPr>
          <w:highlight w:val="lightGray"/>
        </w:rPr>
        <w:t>50 tablečių</w:t>
      </w:r>
    </w:p>
    <w:p w14:paraId="77C81901" w14:textId="77777777" w:rsidR="00912BDF" w:rsidRPr="00C45350" w:rsidRDefault="00912BDF" w:rsidP="00912BDF">
      <w:pPr>
        <w:rPr>
          <w:highlight w:val="lightGray"/>
        </w:rPr>
      </w:pPr>
      <w:r w:rsidRPr="00C45350">
        <w:rPr>
          <w:highlight w:val="lightGray"/>
        </w:rPr>
        <w:t xml:space="preserve">50x1tablečių </w:t>
      </w:r>
    </w:p>
    <w:p w14:paraId="527422B0" w14:textId="77777777" w:rsidR="00912BDF" w:rsidRPr="00A913BF" w:rsidRDefault="00912BDF" w:rsidP="00912BDF">
      <w:pPr>
        <w:rPr>
          <w:rFonts w:eastAsia="Calibri"/>
          <w:szCs w:val="22"/>
          <w:shd w:val="clear" w:color="auto" w:fill="CCCCCC"/>
        </w:rPr>
      </w:pPr>
      <w:r w:rsidRPr="00A913BF">
        <w:rPr>
          <w:rFonts w:eastAsia="Calibri"/>
          <w:szCs w:val="22"/>
          <w:shd w:val="clear" w:color="auto" w:fill="CCCCCC"/>
        </w:rPr>
        <w:t>56 tabletės</w:t>
      </w:r>
    </w:p>
    <w:p w14:paraId="4C63A65C" w14:textId="77777777" w:rsidR="00912BDF" w:rsidRPr="00A913BF" w:rsidRDefault="00912BDF" w:rsidP="00912BDF">
      <w:pPr>
        <w:rPr>
          <w:rFonts w:eastAsia="Calibri"/>
          <w:szCs w:val="22"/>
          <w:shd w:val="clear" w:color="auto" w:fill="CCCCCC"/>
        </w:rPr>
      </w:pPr>
      <w:r w:rsidRPr="00A913BF">
        <w:rPr>
          <w:rFonts w:eastAsia="Calibri"/>
          <w:szCs w:val="22"/>
          <w:shd w:val="clear" w:color="auto" w:fill="CCCCCC"/>
        </w:rPr>
        <w:t>90 tablečių</w:t>
      </w:r>
    </w:p>
    <w:p w14:paraId="25F1EAE5" w14:textId="77777777" w:rsidR="00912BDF" w:rsidRPr="00A913BF" w:rsidRDefault="00912BDF" w:rsidP="00912BDF">
      <w:pPr>
        <w:rPr>
          <w:rFonts w:eastAsia="Calibri"/>
          <w:szCs w:val="22"/>
          <w:shd w:val="clear" w:color="auto" w:fill="CCCCCC"/>
        </w:rPr>
      </w:pPr>
      <w:r w:rsidRPr="00A913BF">
        <w:rPr>
          <w:rFonts w:eastAsia="Calibri"/>
          <w:szCs w:val="22"/>
          <w:shd w:val="clear" w:color="auto" w:fill="CCCCCC"/>
        </w:rPr>
        <w:t>98 tabletės</w:t>
      </w:r>
    </w:p>
    <w:p w14:paraId="4CCD1401" w14:textId="77777777" w:rsidR="00912BDF" w:rsidRPr="00A913BF" w:rsidRDefault="00912BDF" w:rsidP="00912BDF">
      <w:pPr>
        <w:rPr>
          <w:rFonts w:eastAsia="Calibri"/>
          <w:szCs w:val="22"/>
          <w:shd w:val="clear" w:color="auto" w:fill="CCCCCC"/>
        </w:rPr>
      </w:pPr>
      <w:r w:rsidRPr="00A913BF">
        <w:rPr>
          <w:rFonts w:eastAsia="Calibri"/>
          <w:szCs w:val="22"/>
          <w:shd w:val="clear" w:color="auto" w:fill="CCCCCC"/>
        </w:rPr>
        <w:t xml:space="preserve">98x1 tabletės </w:t>
      </w:r>
    </w:p>
    <w:p w14:paraId="728548C5" w14:textId="77777777" w:rsidR="00912BDF" w:rsidRPr="00A913BF" w:rsidRDefault="00912BDF" w:rsidP="00912BDF">
      <w:pPr>
        <w:rPr>
          <w:rFonts w:eastAsia="Calibri"/>
          <w:szCs w:val="22"/>
          <w:shd w:val="clear" w:color="auto" w:fill="CCCCCC"/>
        </w:rPr>
      </w:pPr>
      <w:r w:rsidRPr="00A913BF">
        <w:rPr>
          <w:rFonts w:eastAsia="Calibri"/>
          <w:szCs w:val="22"/>
          <w:shd w:val="clear" w:color="auto" w:fill="CCCCCC"/>
        </w:rPr>
        <w:t>100 tablečių</w:t>
      </w:r>
    </w:p>
    <w:p w14:paraId="7E45A8AC" w14:textId="77777777" w:rsidR="00912BDF" w:rsidRPr="00C45350" w:rsidRDefault="00912BDF" w:rsidP="00912BDF">
      <w:pPr>
        <w:rPr>
          <w:highlight w:val="lightGray"/>
        </w:rPr>
      </w:pPr>
      <w:r w:rsidRPr="00A913BF">
        <w:rPr>
          <w:rFonts w:eastAsia="Calibri"/>
          <w:szCs w:val="22"/>
          <w:shd w:val="clear" w:color="auto" w:fill="CCCCCC"/>
        </w:rPr>
        <w:t>300 tablečių</w:t>
      </w:r>
    </w:p>
    <w:p w14:paraId="5164B91B" w14:textId="77777777" w:rsidR="00912BDF" w:rsidRPr="00A913BF" w:rsidRDefault="00912BDF" w:rsidP="00912BDF">
      <w:pPr>
        <w:rPr>
          <w:szCs w:val="22"/>
        </w:rPr>
      </w:pPr>
    </w:p>
    <w:p w14:paraId="201E2CEF" w14:textId="77777777" w:rsidR="00912BDF" w:rsidRPr="00A913BF" w:rsidRDefault="00912BDF" w:rsidP="00912BDF">
      <w:pPr>
        <w:rPr>
          <w:rFonts w:eastAsia="Calibri"/>
          <w:szCs w:val="22"/>
          <w:shd w:val="clear" w:color="auto" w:fill="CCCCCC"/>
        </w:rPr>
      </w:pPr>
    </w:p>
    <w:p w14:paraId="40AE846C" w14:textId="77777777" w:rsidR="00912BDF" w:rsidRPr="00A913BF" w:rsidRDefault="00912BDF" w:rsidP="00912BDF">
      <w:pPr>
        <w:rPr>
          <w:szCs w:val="22"/>
        </w:rPr>
      </w:pPr>
      <w:r w:rsidRPr="00A913BF">
        <w:rPr>
          <w:szCs w:val="22"/>
        </w:rPr>
        <w:t>Buteliukas:</w:t>
      </w:r>
    </w:p>
    <w:p w14:paraId="021AF489" w14:textId="77777777" w:rsidR="00912BDF" w:rsidRPr="00A913BF" w:rsidRDefault="00912BDF" w:rsidP="00912BDF">
      <w:pPr>
        <w:rPr>
          <w:szCs w:val="22"/>
        </w:rPr>
      </w:pPr>
      <w:r w:rsidRPr="00A913BF">
        <w:rPr>
          <w:szCs w:val="22"/>
        </w:rPr>
        <w:t xml:space="preserve">100 tablečių </w:t>
      </w:r>
    </w:p>
    <w:p w14:paraId="5F23E251" w14:textId="77777777" w:rsidR="00912BDF" w:rsidRPr="00A913BF" w:rsidRDefault="00912BDF" w:rsidP="00912BDF">
      <w:pPr>
        <w:rPr>
          <w:szCs w:val="22"/>
        </w:rPr>
      </w:pPr>
      <w:r w:rsidRPr="00C45350">
        <w:rPr>
          <w:highlight w:val="lightGray"/>
        </w:rPr>
        <w:t>250 tablečių</w:t>
      </w:r>
    </w:p>
    <w:p w14:paraId="7EAE2041" w14:textId="77777777" w:rsidR="00912BDF" w:rsidRPr="00A913BF" w:rsidRDefault="00912BDF" w:rsidP="00912BDF">
      <w:pPr>
        <w:rPr>
          <w:szCs w:val="22"/>
        </w:rPr>
      </w:pPr>
    </w:p>
    <w:p w14:paraId="791864DB" w14:textId="77777777" w:rsidR="00912BDF" w:rsidRPr="00A913BF" w:rsidRDefault="00912BDF" w:rsidP="00912BDF">
      <w:pPr>
        <w:rPr>
          <w:szCs w:val="22"/>
        </w:rPr>
      </w:pPr>
    </w:p>
    <w:p w14:paraId="37E22084" w14:textId="77777777" w:rsidR="00912BDF" w:rsidRPr="00C45350" w:rsidRDefault="00912BDF" w:rsidP="00912BDF">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A913BF">
        <w:rPr>
          <w:b/>
          <w:szCs w:val="22"/>
        </w:rPr>
        <w:t>5.</w:t>
      </w:r>
      <w:r w:rsidRPr="00A913BF">
        <w:rPr>
          <w:b/>
          <w:szCs w:val="22"/>
        </w:rPr>
        <w:tab/>
        <w:t>VARTOJIMO METODAS IR BŪDAS (-AI)</w:t>
      </w:r>
    </w:p>
    <w:p w14:paraId="790644A3" w14:textId="77777777" w:rsidR="00912BDF" w:rsidRPr="00A913BF" w:rsidRDefault="00912BDF" w:rsidP="00912BDF">
      <w:pPr>
        <w:rPr>
          <w:i/>
          <w:szCs w:val="22"/>
        </w:rPr>
      </w:pPr>
    </w:p>
    <w:p w14:paraId="00841582" w14:textId="77777777" w:rsidR="00912BDF" w:rsidRPr="00A913BF" w:rsidRDefault="00912BDF" w:rsidP="00912BDF">
      <w:pPr>
        <w:rPr>
          <w:szCs w:val="22"/>
        </w:rPr>
      </w:pPr>
      <w:r w:rsidRPr="00A913BF">
        <w:rPr>
          <w:szCs w:val="22"/>
        </w:rPr>
        <w:t>Prieš vartojimą perskaitykite pakuotės lapelį.</w:t>
      </w:r>
    </w:p>
    <w:p w14:paraId="6639CC1B" w14:textId="77777777" w:rsidR="00912BDF" w:rsidRPr="00A913BF" w:rsidRDefault="00912BDF" w:rsidP="00912BDF">
      <w:pPr>
        <w:rPr>
          <w:szCs w:val="22"/>
        </w:rPr>
      </w:pPr>
    </w:p>
    <w:p w14:paraId="52580445" w14:textId="77777777" w:rsidR="00912BDF" w:rsidRPr="00A913BF" w:rsidRDefault="00912BDF" w:rsidP="00912BDF">
      <w:pPr>
        <w:rPr>
          <w:szCs w:val="22"/>
        </w:rPr>
      </w:pPr>
      <w:r w:rsidRPr="00A913BF">
        <w:rPr>
          <w:szCs w:val="22"/>
        </w:rPr>
        <w:t>Vartoti per burną</w:t>
      </w:r>
    </w:p>
    <w:p w14:paraId="15A8B5EB" w14:textId="77777777" w:rsidR="00912BDF" w:rsidRPr="00A913BF" w:rsidRDefault="00912BDF" w:rsidP="00912BDF">
      <w:pPr>
        <w:rPr>
          <w:szCs w:val="22"/>
        </w:rPr>
      </w:pPr>
    </w:p>
    <w:p w14:paraId="0457AC9A" w14:textId="77777777" w:rsidR="00912BDF" w:rsidRPr="00A913BF" w:rsidRDefault="00912BDF" w:rsidP="00912BDF">
      <w:pPr>
        <w:rPr>
          <w:szCs w:val="22"/>
        </w:rPr>
      </w:pPr>
    </w:p>
    <w:p w14:paraId="32853436" w14:textId="77777777" w:rsidR="00912BDF" w:rsidRPr="00A913BF" w:rsidRDefault="00912BDF" w:rsidP="00912BDF">
      <w:pPr>
        <w:pBdr>
          <w:top w:val="single" w:sz="4" w:space="0" w:color="auto"/>
          <w:left w:val="single" w:sz="4" w:space="4" w:color="auto"/>
          <w:bottom w:val="single" w:sz="4" w:space="1" w:color="auto"/>
          <w:right w:val="single" w:sz="4" w:space="4" w:color="auto"/>
        </w:pBdr>
        <w:ind w:left="567" w:hanging="567"/>
        <w:outlineLvl w:val="0"/>
        <w:rPr>
          <w:szCs w:val="22"/>
        </w:rPr>
      </w:pPr>
      <w:r w:rsidRPr="00A913BF">
        <w:rPr>
          <w:b/>
          <w:szCs w:val="22"/>
        </w:rPr>
        <w:t>6.</w:t>
      </w:r>
      <w:r w:rsidRPr="00A913BF">
        <w:rPr>
          <w:b/>
          <w:szCs w:val="22"/>
        </w:rPr>
        <w:tab/>
      </w:r>
      <w:r w:rsidRPr="00A913BF">
        <w:rPr>
          <w:b/>
          <w:bCs/>
          <w:szCs w:val="22"/>
        </w:rPr>
        <w:t>SPECIALUS ĮSPĖJIMAS, KAD VAISTINĮ PREPARATĄ BŪTINA LAIKYTI VAIKAMS NEPASTEBIMOJE IR NEPASIEKIAMOJE VIETOJE</w:t>
      </w:r>
    </w:p>
    <w:p w14:paraId="3B30D229" w14:textId="77777777" w:rsidR="00912BDF" w:rsidRPr="00A913BF" w:rsidRDefault="00912BDF" w:rsidP="00912BDF">
      <w:pPr>
        <w:rPr>
          <w:szCs w:val="22"/>
        </w:rPr>
      </w:pPr>
    </w:p>
    <w:p w14:paraId="5AFB40DD" w14:textId="77777777" w:rsidR="00912BDF" w:rsidRPr="00912BDF" w:rsidRDefault="00912BDF" w:rsidP="00912BDF">
      <w:pPr>
        <w:rPr>
          <w:rStyle w:val="Hipersaitas"/>
          <w:color w:val="auto"/>
          <w:szCs w:val="22"/>
          <w:u w:val="none"/>
        </w:rPr>
      </w:pPr>
      <w:r w:rsidRPr="00912BDF">
        <w:rPr>
          <w:rStyle w:val="Hipersaitas"/>
          <w:color w:val="auto"/>
          <w:szCs w:val="22"/>
          <w:u w:val="none"/>
        </w:rPr>
        <w:t>Laikyti vaikams nepastebimoje ir nepasiekiamoje vietoje.</w:t>
      </w:r>
    </w:p>
    <w:p w14:paraId="73F4538C" w14:textId="77777777" w:rsidR="00912BDF" w:rsidRPr="00A913BF" w:rsidRDefault="00912BDF" w:rsidP="00912BDF">
      <w:pPr>
        <w:rPr>
          <w:szCs w:val="22"/>
        </w:rPr>
      </w:pPr>
    </w:p>
    <w:p w14:paraId="7F3605F6" w14:textId="77777777" w:rsidR="00912BDF" w:rsidRPr="00A913BF" w:rsidRDefault="00912BDF" w:rsidP="00912BDF">
      <w:pPr>
        <w:rPr>
          <w:szCs w:val="22"/>
        </w:rPr>
      </w:pPr>
    </w:p>
    <w:p w14:paraId="568FA1FB" w14:textId="77777777" w:rsidR="00912BDF" w:rsidRPr="00C45350" w:rsidRDefault="00912BDF" w:rsidP="00912BDF">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A913BF">
        <w:rPr>
          <w:b/>
          <w:szCs w:val="22"/>
        </w:rPr>
        <w:t>7.</w:t>
      </w:r>
      <w:r w:rsidRPr="00A913BF">
        <w:rPr>
          <w:b/>
          <w:szCs w:val="22"/>
        </w:rPr>
        <w:tab/>
      </w:r>
      <w:r w:rsidRPr="00A913BF">
        <w:rPr>
          <w:b/>
          <w:bCs/>
          <w:szCs w:val="22"/>
        </w:rPr>
        <w:t>KITAS (-I) SPECIALUS (-ŪS) ĮSPĖJIMAS (-AI) (JEI REIKIA)</w:t>
      </w:r>
    </w:p>
    <w:p w14:paraId="5F45FE83" w14:textId="77777777" w:rsidR="00912BDF" w:rsidRPr="00A913BF" w:rsidRDefault="00912BDF" w:rsidP="00912BDF">
      <w:pPr>
        <w:rPr>
          <w:szCs w:val="22"/>
        </w:rPr>
      </w:pPr>
    </w:p>
    <w:p w14:paraId="1B41C9C0" w14:textId="77777777" w:rsidR="00912BDF" w:rsidRPr="00A913BF" w:rsidRDefault="00912BDF" w:rsidP="00912BDF">
      <w:pPr>
        <w:rPr>
          <w:szCs w:val="22"/>
        </w:rPr>
      </w:pPr>
    </w:p>
    <w:p w14:paraId="45E57C47" w14:textId="77777777" w:rsidR="00912BDF" w:rsidRPr="00C45350" w:rsidRDefault="00912BDF" w:rsidP="00912BDF">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A913BF">
        <w:rPr>
          <w:b/>
          <w:szCs w:val="22"/>
        </w:rPr>
        <w:t>8.</w:t>
      </w:r>
      <w:r w:rsidRPr="00A913BF">
        <w:rPr>
          <w:b/>
          <w:szCs w:val="22"/>
        </w:rPr>
        <w:tab/>
      </w:r>
      <w:r w:rsidRPr="00A913BF">
        <w:rPr>
          <w:b/>
          <w:bCs/>
          <w:szCs w:val="22"/>
        </w:rPr>
        <w:t>TINKAMUMO LAIKAS</w:t>
      </w:r>
    </w:p>
    <w:p w14:paraId="0FDD8C1C" w14:textId="77777777" w:rsidR="00912BDF" w:rsidRPr="00A913BF" w:rsidRDefault="00912BDF" w:rsidP="00912BDF">
      <w:pPr>
        <w:rPr>
          <w:szCs w:val="22"/>
        </w:rPr>
      </w:pPr>
    </w:p>
    <w:p w14:paraId="4154B942" w14:textId="77777777" w:rsidR="00912BDF" w:rsidRPr="00A913BF" w:rsidRDefault="00912BDF" w:rsidP="00912BDF">
      <w:pPr>
        <w:rPr>
          <w:szCs w:val="22"/>
        </w:rPr>
      </w:pPr>
      <w:r w:rsidRPr="00A913BF">
        <w:rPr>
          <w:szCs w:val="22"/>
        </w:rPr>
        <w:t xml:space="preserve">Tinka iki </w:t>
      </w:r>
      <w:r w:rsidRPr="00A913BF">
        <w:rPr>
          <w:szCs w:val="22"/>
          <w:lang w:val="fi-FI"/>
        </w:rPr>
        <w:t>{MMMM-mm}</w:t>
      </w:r>
    </w:p>
    <w:p w14:paraId="6A53DD75" w14:textId="77777777" w:rsidR="00912BDF" w:rsidRPr="00A913BF" w:rsidRDefault="00912BDF" w:rsidP="00912BDF">
      <w:pPr>
        <w:rPr>
          <w:szCs w:val="22"/>
        </w:rPr>
      </w:pPr>
    </w:p>
    <w:p w14:paraId="2E63D275" w14:textId="77777777" w:rsidR="00912BDF" w:rsidRPr="00A913BF" w:rsidRDefault="00912BDF" w:rsidP="00912BDF">
      <w:pPr>
        <w:rPr>
          <w:szCs w:val="22"/>
        </w:rPr>
      </w:pPr>
    </w:p>
    <w:p w14:paraId="468D9D22"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67" w:hanging="567"/>
        <w:outlineLvl w:val="0"/>
        <w:rPr>
          <w:szCs w:val="22"/>
        </w:rPr>
      </w:pPr>
      <w:r w:rsidRPr="00A913BF">
        <w:rPr>
          <w:b/>
          <w:szCs w:val="22"/>
        </w:rPr>
        <w:t>9.</w:t>
      </w:r>
      <w:r w:rsidRPr="00A913BF">
        <w:rPr>
          <w:b/>
          <w:szCs w:val="22"/>
        </w:rPr>
        <w:tab/>
      </w:r>
      <w:r w:rsidRPr="00A913BF">
        <w:rPr>
          <w:b/>
          <w:caps/>
          <w:szCs w:val="22"/>
        </w:rPr>
        <w:t>SPECIALIOS laikymo sąlygos</w:t>
      </w:r>
    </w:p>
    <w:p w14:paraId="41D1F7E5" w14:textId="77777777" w:rsidR="00912BDF" w:rsidRPr="00A913BF" w:rsidRDefault="00912BDF" w:rsidP="00912BDF">
      <w:pPr>
        <w:ind w:left="567" w:hanging="567"/>
        <w:rPr>
          <w:szCs w:val="22"/>
        </w:rPr>
      </w:pPr>
    </w:p>
    <w:p w14:paraId="2F1FDE2A" w14:textId="77777777" w:rsidR="00912BDF" w:rsidRPr="00A913BF" w:rsidRDefault="00912BDF" w:rsidP="00912BDF">
      <w:pPr>
        <w:ind w:left="567" w:hanging="567"/>
        <w:rPr>
          <w:szCs w:val="22"/>
        </w:rPr>
      </w:pPr>
    </w:p>
    <w:p w14:paraId="749AC028"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67" w:hanging="567"/>
        <w:outlineLvl w:val="0"/>
        <w:rPr>
          <w:b/>
          <w:szCs w:val="22"/>
        </w:rPr>
      </w:pPr>
      <w:r w:rsidRPr="00A913BF">
        <w:rPr>
          <w:b/>
          <w:szCs w:val="22"/>
        </w:rPr>
        <w:t>10.</w:t>
      </w:r>
      <w:r w:rsidRPr="00A913BF">
        <w:rPr>
          <w:b/>
          <w:szCs w:val="22"/>
        </w:rPr>
        <w:tab/>
      </w:r>
      <w:r w:rsidRPr="00A913BF">
        <w:rPr>
          <w:b/>
          <w:caps/>
          <w:szCs w:val="22"/>
        </w:rPr>
        <w:t xml:space="preserve">specialios atsargumo priemonės </w:t>
      </w:r>
      <w:r w:rsidRPr="00A913BF">
        <w:rPr>
          <w:b/>
          <w:bCs/>
          <w:szCs w:val="22"/>
        </w:rPr>
        <w:t xml:space="preserve">DĖL NESUVARTOTO VAISTINIO PREPARATO AR JO </w:t>
      </w:r>
      <w:r w:rsidRPr="00A913BF">
        <w:rPr>
          <w:b/>
          <w:szCs w:val="22"/>
        </w:rPr>
        <w:t>ATLIEKŲ TVARKYMO (JEI REIKIA)</w:t>
      </w:r>
    </w:p>
    <w:p w14:paraId="6FCAA2A2" w14:textId="77777777" w:rsidR="00912BDF" w:rsidRPr="00A913BF" w:rsidRDefault="00912BDF" w:rsidP="00912BDF">
      <w:pPr>
        <w:rPr>
          <w:szCs w:val="22"/>
        </w:rPr>
      </w:pPr>
    </w:p>
    <w:p w14:paraId="4BCE1477" w14:textId="77777777" w:rsidR="00912BDF" w:rsidRPr="00A913BF" w:rsidRDefault="00912BDF" w:rsidP="00912BDF">
      <w:pPr>
        <w:rPr>
          <w:szCs w:val="22"/>
        </w:rPr>
      </w:pPr>
    </w:p>
    <w:p w14:paraId="3BF3FD8F"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40" w:hanging="540"/>
        <w:outlineLvl w:val="0"/>
        <w:rPr>
          <w:b/>
          <w:szCs w:val="22"/>
        </w:rPr>
      </w:pPr>
      <w:r w:rsidRPr="00A913BF">
        <w:rPr>
          <w:b/>
          <w:szCs w:val="22"/>
        </w:rPr>
        <w:t>11.</w:t>
      </w:r>
      <w:r w:rsidRPr="00A913BF">
        <w:rPr>
          <w:b/>
          <w:szCs w:val="22"/>
        </w:rPr>
        <w:tab/>
        <w:t>R</w:t>
      </w:r>
      <w:r>
        <w:rPr>
          <w:b/>
          <w:szCs w:val="22"/>
        </w:rPr>
        <w:t>EGISTRUOTOJO</w:t>
      </w:r>
      <w:r w:rsidRPr="00A913BF">
        <w:rPr>
          <w:b/>
          <w:caps/>
          <w:szCs w:val="22"/>
        </w:rPr>
        <w:t xml:space="preserve"> pavadinimas ir adresas</w:t>
      </w:r>
    </w:p>
    <w:p w14:paraId="1A53391C" w14:textId="77777777" w:rsidR="00912BDF" w:rsidRPr="00A913BF" w:rsidRDefault="00912BDF" w:rsidP="00912BDF">
      <w:pPr>
        <w:rPr>
          <w:szCs w:val="22"/>
        </w:rPr>
      </w:pPr>
    </w:p>
    <w:p w14:paraId="7FAA7F2E" w14:textId="77777777" w:rsidR="00150E2A" w:rsidRDefault="00150E2A" w:rsidP="00150E2A">
      <w:pPr>
        <w:rPr>
          <w:szCs w:val="22"/>
        </w:rPr>
      </w:pPr>
      <w:r w:rsidRPr="003422CA">
        <w:rPr>
          <w:szCs w:val="22"/>
        </w:rPr>
        <w:t>CHEPLAPHARM Arzneimittel GmbH</w:t>
      </w:r>
      <w:r>
        <w:rPr>
          <w:szCs w:val="22"/>
        </w:rPr>
        <w:t xml:space="preserve"> </w:t>
      </w:r>
    </w:p>
    <w:p w14:paraId="4ADE0D75" w14:textId="77777777" w:rsidR="00150E2A" w:rsidRDefault="00150E2A" w:rsidP="00150E2A">
      <w:pPr>
        <w:rPr>
          <w:szCs w:val="22"/>
        </w:rPr>
      </w:pPr>
      <w:r w:rsidRPr="003422CA">
        <w:rPr>
          <w:szCs w:val="22"/>
        </w:rPr>
        <w:t>Ziegelhof 24</w:t>
      </w:r>
      <w:r>
        <w:rPr>
          <w:szCs w:val="22"/>
        </w:rPr>
        <w:t xml:space="preserve"> </w:t>
      </w:r>
    </w:p>
    <w:p w14:paraId="43B7242F" w14:textId="77777777" w:rsidR="00150E2A" w:rsidRDefault="00150E2A" w:rsidP="00150E2A">
      <w:pPr>
        <w:rPr>
          <w:szCs w:val="22"/>
        </w:rPr>
      </w:pPr>
      <w:r w:rsidRPr="003422CA">
        <w:rPr>
          <w:szCs w:val="22"/>
        </w:rPr>
        <w:t>17489 Greifswald</w:t>
      </w:r>
      <w:r>
        <w:rPr>
          <w:szCs w:val="22"/>
        </w:rPr>
        <w:t xml:space="preserve"> </w:t>
      </w:r>
    </w:p>
    <w:p w14:paraId="63F40161" w14:textId="77777777" w:rsidR="00150E2A" w:rsidRDefault="00150E2A" w:rsidP="00150E2A">
      <w:pPr>
        <w:rPr>
          <w:szCs w:val="22"/>
        </w:rPr>
      </w:pPr>
      <w:r w:rsidRPr="003422CA">
        <w:rPr>
          <w:szCs w:val="22"/>
        </w:rPr>
        <w:t>Vokietija</w:t>
      </w:r>
    </w:p>
    <w:p w14:paraId="64DDCB92" w14:textId="77777777" w:rsidR="00912BDF" w:rsidRPr="00A913BF" w:rsidRDefault="00912BDF" w:rsidP="00912BDF">
      <w:pPr>
        <w:rPr>
          <w:szCs w:val="22"/>
        </w:rPr>
      </w:pPr>
    </w:p>
    <w:p w14:paraId="2BD77AC7" w14:textId="77777777" w:rsidR="00912BDF" w:rsidRPr="00A913BF" w:rsidRDefault="00912BDF" w:rsidP="00912BDF">
      <w:pPr>
        <w:rPr>
          <w:szCs w:val="22"/>
        </w:rPr>
      </w:pPr>
    </w:p>
    <w:p w14:paraId="048DFCDD"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40" w:hanging="540"/>
        <w:outlineLvl w:val="0"/>
        <w:rPr>
          <w:szCs w:val="22"/>
        </w:rPr>
      </w:pPr>
      <w:r w:rsidRPr="00A913BF">
        <w:rPr>
          <w:b/>
          <w:szCs w:val="22"/>
        </w:rPr>
        <w:t>12.</w:t>
      </w:r>
      <w:r w:rsidRPr="00A913BF">
        <w:rPr>
          <w:b/>
          <w:szCs w:val="22"/>
        </w:rPr>
        <w:tab/>
        <w:t>R</w:t>
      </w:r>
      <w:r>
        <w:rPr>
          <w:b/>
          <w:szCs w:val="22"/>
        </w:rPr>
        <w:t>EGISTRACIJOS</w:t>
      </w:r>
      <w:r w:rsidRPr="00A913BF">
        <w:rPr>
          <w:b/>
          <w:szCs w:val="22"/>
        </w:rPr>
        <w:t xml:space="preserve"> PAŽYMĖJIMO</w:t>
      </w:r>
      <w:r w:rsidRPr="00A913BF">
        <w:rPr>
          <w:b/>
          <w:caps/>
          <w:szCs w:val="22"/>
        </w:rPr>
        <w:t xml:space="preserve"> numeris</w:t>
      </w:r>
      <w:r w:rsidRPr="00A913BF">
        <w:rPr>
          <w:b/>
          <w:szCs w:val="22"/>
        </w:rPr>
        <w:t xml:space="preserve"> (-IAI)</w:t>
      </w:r>
    </w:p>
    <w:p w14:paraId="562A5239" w14:textId="77777777" w:rsidR="00912BDF" w:rsidRPr="00A913BF" w:rsidRDefault="00912BDF" w:rsidP="00912BDF">
      <w:pPr>
        <w:rPr>
          <w:szCs w:val="22"/>
        </w:rPr>
      </w:pPr>
    </w:p>
    <w:p w14:paraId="30A1276E" w14:textId="77777777" w:rsidR="00912BDF" w:rsidRPr="00A913BF" w:rsidRDefault="00912BDF" w:rsidP="00912BDF">
      <w:pPr>
        <w:autoSpaceDE w:val="0"/>
        <w:autoSpaceDN w:val="0"/>
        <w:adjustRightInd w:val="0"/>
        <w:rPr>
          <w:szCs w:val="22"/>
          <w:lang w:eastAsia="lt-LT"/>
        </w:rPr>
      </w:pPr>
      <w:r w:rsidRPr="00C45350">
        <w:rPr>
          <w:highlight w:val="lightGray"/>
        </w:rPr>
        <w:t>Atacand 4 mg tabletės</w:t>
      </w:r>
      <w:r w:rsidRPr="00A913BF">
        <w:rPr>
          <w:szCs w:val="22"/>
          <w:lang w:eastAsia="lt-LT"/>
        </w:rPr>
        <w:t xml:space="preserve">  </w:t>
      </w:r>
    </w:p>
    <w:p w14:paraId="31726ED2" w14:textId="77777777" w:rsidR="00912BDF" w:rsidRPr="00A913BF" w:rsidRDefault="00912BDF" w:rsidP="00912BDF">
      <w:pPr>
        <w:autoSpaceDE w:val="0"/>
        <w:autoSpaceDN w:val="0"/>
        <w:adjustRightInd w:val="0"/>
        <w:rPr>
          <w:szCs w:val="22"/>
          <w:lang w:eastAsia="lt-LT"/>
        </w:rPr>
      </w:pPr>
      <w:r w:rsidRPr="00A913BF">
        <w:rPr>
          <w:szCs w:val="22"/>
          <w:lang w:eastAsia="lt-LT"/>
        </w:rPr>
        <w:t xml:space="preserve">LT/1/99/0689/001 </w:t>
      </w:r>
      <w:r w:rsidRPr="00C45350">
        <w:rPr>
          <w:highlight w:val="lightGray"/>
        </w:rPr>
        <w:t>– lizdinė plokštelė, N28</w:t>
      </w:r>
    </w:p>
    <w:p w14:paraId="0E122930" w14:textId="77777777" w:rsidR="00912BDF" w:rsidRPr="00C45350" w:rsidRDefault="00912BDF" w:rsidP="00912BDF">
      <w:pPr>
        <w:rPr>
          <w:highlight w:val="lightGray"/>
        </w:rPr>
      </w:pPr>
      <w:r w:rsidRPr="00C45350">
        <w:rPr>
          <w:highlight w:val="lightGray"/>
        </w:rPr>
        <w:t>LT/1/99/0689/005 – kalendorinė lizdinė plokštelė, N7</w:t>
      </w:r>
    </w:p>
    <w:p w14:paraId="69C2C112" w14:textId="77777777" w:rsidR="00912BDF" w:rsidRPr="00C45350" w:rsidRDefault="00912BDF" w:rsidP="00912BDF">
      <w:pPr>
        <w:rPr>
          <w:highlight w:val="lightGray"/>
        </w:rPr>
      </w:pPr>
      <w:r w:rsidRPr="00C45350">
        <w:rPr>
          <w:highlight w:val="lightGray"/>
        </w:rPr>
        <w:t>LT/1/99/0689/006 – kalendorinė lizdinė plokštelė, N14</w:t>
      </w:r>
    </w:p>
    <w:p w14:paraId="6F75B6F0" w14:textId="77777777" w:rsidR="00912BDF" w:rsidRPr="00C45350" w:rsidRDefault="00912BDF" w:rsidP="00912BDF">
      <w:pPr>
        <w:rPr>
          <w:highlight w:val="lightGray"/>
        </w:rPr>
      </w:pPr>
      <w:r w:rsidRPr="00C45350">
        <w:rPr>
          <w:highlight w:val="lightGray"/>
        </w:rPr>
        <w:t>LT/1/99/0689/007 – kalendorinė lizdinė plokštelė, N28</w:t>
      </w:r>
    </w:p>
    <w:p w14:paraId="11F80881" w14:textId="77777777" w:rsidR="00912BDF" w:rsidRPr="00C45350" w:rsidRDefault="00912BDF" w:rsidP="00912BDF">
      <w:pPr>
        <w:rPr>
          <w:highlight w:val="lightGray"/>
        </w:rPr>
      </w:pPr>
      <w:r w:rsidRPr="00C45350">
        <w:rPr>
          <w:highlight w:val="lightGray"/>
        </w:rPr>
        <w:t>LT/1/99/0689/008 – kalendorinė lizdinė plokštelė, N56</w:t>
      </w:r>
    </w:p>
    <w:p w14:paraId="736B0551" w14:textId="77777777" w:rsidR="00912BDF" w:rsidRPr="00A913BF" w:rsidRDefault="00912BDF" w:rsidP="00912BDF">
      <w:pPr>
        <w:autoSpaceDE w:val="0"/>
        <w:autoSpaceDN w:val="0"/>
        <w:adjustRightInd w:val="0"/>
        <w:rPr>
          <w:szCs w:val="22"/>
          <w:lang w:eastAsia="lt-LT"/>
        </w:rPr>
      </w:pPr>
      <w:r w:rsidRPr="00C45350">
        <w:rPr>
          <w:highlight w:val="lightGray"/>
        </w:rPr>
        <w:t>LT/1/99/0689/009 – kalendorinė lizdinė plokštelė, N98</w:t>
      </w:r>
    </w:p>
    <w:p w14:paraId="6BB7E710" w14:textId="77777777" w:rsidR="00912BDF" w:rsidRPr="00C45350" w:rsidRDefault="00912BDF" w:rsidP="00912BDF">
      <w:pPr>
        <w:autoSpaceDE w:val="0"/>
        <w:autoSpaceDN w:val="0"/>
        <w:adjustRightInd w:val="0"/>
        <w:rPr>
          <w:highlight w:val="lightGray"/>
        </w:rPr>
      </w:pPr>
      <w:r w:rsidRPr="00C45350">
        <w:rPr>
          <w:highlight w:val="lightGray"/>
        </w:rPr>
        <w:t>LT/1/99/0689/025 - lizdinė plokštelė, N15</w:t>
      </w:r>
    </w:p>
    <w:p w14:paraId="09284DB9" w14:textId="77777777" w:rsidR="00912BDF" w:rsidRPr="00C45350" w:rsidRDefault="00912BDF" w:rsidP="00912BDF">
      <w:pPr>
        <w:autoSpaceDE w:val="0"/>
        <w:autoSpaceDN w:val="0"/>
        <w:adjustRightInd w:val="0"/>
        <w:rPr>
          <w:highlight w:val="lightGray"/>
        </w:rPr>
      </w:pPr>
      <w:r w:rsidRPr="00C45350">
        <w:rPr>
          <w:highlight w:val="lightGray"/>
        </w:rPr>
        <w:t>LT/1/99/0689/026 - lizdinė plokštelė, N15x1</w:t>
      </w:r>
    </w:p>
    <w:p w14:paraId="6A3A5DE3" w14:textId="77777777" w:rsidR="00912BDF" w:rsidRPr="00C45350" w:rsidRDefault="00912BDF" w:rsidP="00912BDF">
      <w:pPr>
        <w:autoSpaceDE w:val="0"/>
        <w:autoSpaceDN w:val="0"/>
        <w:adjustRightInd w:val="0"/>
        <w:rPr>
          <w:highlight w:val="lightGray"/>
        </w:rPr>
      </w:pPr>
      <w:r w:rsidRPr="00C45350">
        <w:rPr>
          <w:highlight w:val="lightGray"/>
        </w:rPr>
        <w:t>LT/1/99/0689/027- lizdinė plokštelė, N20</w:t>
      </w:r>
    </w:p>
    <w:p w14:paraId="5C30C9B2" w14:textId="77777777" w:rsidR="00912BDF" w:rsidRPr="00C45350" w:rsidRDefault="00912BDF" w:rsidP="00912BDF">
      <w:pPr>
        <w:autoSpaceDE w:val="0"/>
        <w:autoSpaceDN w:val="0"/>
        <w:adjustRightInd w:val="0"/>
        <w:rPr>
          <w:highlight w:val="lightGray"/>
        </w:rPr>
      </w:pPr>
      <w:r w:rsidRPr="00C45350">
        <w:rPr>
          <w:highlight w:val="lightGray"/>
        </w:rPr>
        <w:t>LT/1/99/0689/028- lizdinė plokštelė, N30</w:t>
      </w:r>
    </w:p>
    <w:p w14:paraId="56B691A5" w14:textId="77777777" w:rsidR="00912BDF" w:rsidRPr="00C45350" w:rsidRDefault="00912BDF" w:rsidP="00912BDF">
      <w:pPr>
        <w:autoSpaceDE w:val="0"/>
        <w:autoSpaceDN w:val="0"/>
        <w:adjustRightInd w:val="0"/>
        <w:rPr>
          <w:highlight w:val="lightGray"/>
        </w:rPr>
      </w:pPr>
      <w:r w:rsidRPr="00C45350">
        <w:rPr>
          <w:highlight w:val="lightGray"/>
        </w:rPr>
        <w:t>LT/1/99/0689/029- lizdinė plokštelė, N30x1</w:t>
      </w:r>
    </w:p>
    <w:p w14:paraId="34FE5AEE" w14:textId="77777777" w:rsidR="00912BDF" w:rsidRPr="00C45350" w:rsidRDefault="00912BDF" w:rsidP="00912BDF">
      <w:pPr>
        <w:autoSpaceDE w:val="0"/>
        <w:autoSpaceDN w:val="0"/>
        <w:adjustRightInd w:val="0"/>
        <w:rPr>
          <w:highlight w:val="lightGray"/>
        </w:rPr>
      </w:pPr>
      <w:r w:rsidRPr="00C45350">
        <w:rPr>
          <w:highlight w:val="lightGray"/>
        </w:rPr>
        <w:t>LT/1/99/0689/030- lizdinė plokštelė, N50</w:t>
      </w:r>
    </w:p>
    <w:p w14:paraId="1CF33D32" w14:textId="77777777" w:rsidR="00912BDF" w:rsidRPr="00C45350" w:rsidRDefault="00912BDF" w:rsidP="00912BDF">
      <w:pPr>
        <w:autoSpaceDE w:val="0"/>
        <w:autoSpaceDN w:val="0"/>
        <w:adjustRightInd w:val="0"/>
        <w:rPr>
          <w:highlight w:val="lightGray"/>
        </w:rPr>
      </w:pPr>
      <w:r w:rsidRPr="00C45350">
        <w:rPr>
          <w:highlight w:val="lightGray"/>
        </w:rPr>
        <w:t>LT/1/99/0689/031- lizdinė plokštelė, N50x1</w:t>
      </w:r>
    </w:p>
    <w:p w14:paraId="3A7F6DBF" w14:textId="77777777" w:rsidR="00912BDF" w:rsidRPr="00A913BF" w:rsidRDefault="00912BDF" w:rsidP="00912BDF">
      <w:pPr>
        <w:autoSpaceDE w:val="0"/>
        <w:autoSpaceDN w:val="0"/>
        <w:adjustRightInd w:val="0"/>
        <w:rPr>
          <w:szCs w:val="22"/>
        </w:rPr>
      </w:pPr>
      <w:r w:rsidRPr="00C45350">
        <w:rPr>
          <w:highlight w:val="lightGray"/>
        </w:rPr>
        <w:t>LT/1/99/0689/073 - lizdinė plokštelė, N90</w:t>
      </w:r>
    </w:p>
    <w:p w14:paraId="45A21646" w14:textId="77777777" w:rsidR="00912BDF" w:rsidRPr="00C45350" w:rsidRDefault="00912BDF" w:rsidP="00912BDF">
      <w:pPr>
        <w:autoSpaceDE w:val="0"/>
        <w:autoSpaceDN w:val="0"/>
        <w:adjustRightInd w:val="0"/>
        <w:rPr>
          <w:highlight w:val="lightGray"/>
        </w:rPr>
      </w:pPr>
      <w:r w:rsidRPr="00C45350">
        <w:rPr>
          <w:highlight w:val="lightGray"/>
        </w:rPr>
        <w:t>LT/1/99/0689/032- lizdinė plokštelė, N98x1</w:t>
      </w:r>
    </w:p>
    <w:p w14:paraId="763D45C1" w14:textId="77777777" w:rsidR="00912BDF" w:rsidRPr="00C45350" w:rsidRDefault="00912BDF" w:rsidP="00912BDF">
      <w:pPr>
        <w:autoSpaceDE w:val="0"/>
        <w:autoSpaceDN w:val="0"/>
        <w:adjustRightInd w:val="0"/>
        <w:rPr>
          <w:highlight w:val="lightGray"/>
        </w:rPr>
      </w:pPr>
      <w:r w:rsidRPr="00C45350">
        <w:rPr>
          <w:highlight w:val="lightGray"/>
        </w:rPr>
        <w:t>LT/1/99/0689/033- lizdinė plokštelė, N100</w:t>
      </w:r>
    </w:p>
    <w:p w14:paraId="27AA0483" w14:textId="77777777" w:rsidR="00912BDF" w:rsidRPr="00C45350" w:rsidRDefault="00912BDF" w:rsidP="00912BDF">
      <w:pPr>
        <w:autoSpaceDE w:val="0"/>
        <w:autoSpaceDN w:val="0"/>
        <w:adjustRightInd w:val="0"/>
        <w:rPr>
          <w:highlight w:val="lightGray"/>
        </w:rPr>
      </w:pPr>
      <w:r w:rsidRPr="00C45350">
        <w:rPr>
          <w:highlight w:val="lightGray"/>
        </w:rPr>
        <w:t>LT/1/99/0689/034 - lizdinė plokštelė, N300</w:t>
      </w:r>
    </w:p>
    <w:p w14:paraId="407BD1C2" w14:textId="77777777" w:rsidR="00912BDF" w:rsidRPr="00C45350" w:rsidRDefault="00912BDF" w:rsidP="00912BDF">
      <w:pPr>
        <w:autoSpaceDE w:val="0"/>
        <w:autoSpaceDN w:val="0"/>
        <w:adjustRightInd w:val="0"/>
        <w:rPr>
          <w:highlight w:val="lightGray"/>
        </w:rPr>
      </w:pPr>
      <w:r w:rsidRPr="00C45350">
        <w:rPr>
          <w:highlight w:val="lightGray"/>
        </w:rPr>
        <w:t>LT/1/99/0689/035 - buteliukas, N100</w:t>
      </w:r>
    </w:p>
    <w:p w14:paraId="692AD3D8" w14:textId="77777777" w:rsidR="00912BDF" w:rsidRPr="00C45350" w:rsidRDefault="00912BDF" w:rsidP="00912BDF">
      <w:pPr>
        <w:autoSpaceDE w:val="0"/>
        <w:autoSpaceDN w:val="0"/>
        <w:adjustRightInd w:val="0"/>
        <w:rPr>
          <w:highlight w:val="lightGray"/>
        </w:rPr>
      </w:pPr>
      <w:r w:rsidRPr="00C45350">
        <w:rPr>
          <w:highlight w:val="lightGray"/>
        </w:rPr>
        <w:lastRenderedPageBreak/>
        <w:t>LT/1/99/0689/036 - buteliukas, N250</w:t>
      </w:r>
    </w:p>
    <w:p w14:paraId="2B0DF38A" w14:textId="77777777" w:rsidR="00912BDF" w:rsidRPr="00C45350" w:rsidRDefault="00912BDF" w:rsidP="00912BDF">
      <w:pPr>
        <w:autoSpaceDE w:val="0"/>
        <w:autoSpaceDN w:val="0"/>
        <w:adjustRightInd w:val="0"/>
        <w:rPr>
          <w:highlight w:val="lightGray"/>
        </w:rPr>
      </w:pPr>
    </w:p>
    <w:p w14:paraId="5144C874" w14:textId="77777777" w:rsidR="00912BDF" w:rsidRPr="00C45350" w:rsidRDefault="00912BDF" w:rsidP="00912BDF">
      <w:pPr>
        <w:autoSpaceDE w:val="0"/>
        <w:autoSpaceDN w:val="0"/>
        <w:adjustRightInd w:val="0"/>
        <w:rPr>
          <w:highlight w:val="lightGray"/>
        </w:rPr>
      </w:pPr>
      <w:r w:rsidRPr="00C45350">
        <w:rPr>
          <w:highlight w:val="lightGray"/>
        </w:rPr>
        <w:t>Atacand 8 mg tabletės</w:t>
      </w:r>
    </w:p>
    <w:p w14:paraId="56CAE361" w14:textId="77777777" w:rsidR="00912BDF" w:rsidRPr="00C45350" w:rsidRDefault="00912BDF" w:rsidP="00912BDF">
      <w:pPr>
        <w:autoSpaceDE w:val="0"/>
        <w:autoSpaceDN w:val="0"/>
        <w:adjustRightInd w:val="0"/>
        <w:rPr>
          <w:highlight w:val="lightGray"/>
        </w:rPr>
      </w:pPr>
      <w:r w:rsidRPr="00C45350">
        <w:rPr>
          <w:highlight w:val="lightGray"/>
        </w:rPr>
        <w:t>LT/1/99/0689/002 – lizdinė plokštelė, N28</w:t>
      </w:r>
    </w:p>
    <w:p w14:paraId="4081E6E4" w14:textId="77777777" w:rsidR="00912BDF" w:rsidRPr="00C45350" w:rsidRDefault="00912BDF" w:rsidP="00912BDF">
      <w:pPr>
        <w:rPr>
          <w:highlight w:val="lightGray"/>
        </w:rPr>
      </w:pPr>
      <w:r w:rsidRPr="00C45350">
        <w:rPr>
          <w:highlight w:val="lightGray"/>
        </w:rPr>
        <w:t>LT/1/99/0689/010 – kalendorinė lizdinė plokštelė, N7</w:t>
      </w:r>
    </w:p>
    <w:p w14:paraId="52838CD2" w14:textId="77777777" w:rsidR="00912BDF" w:rsidRPr="00C45350" w:rsidRDefault="00912BDF" w:rsidP="00912BDF">
      <w:pPr>
        <w:rPr>
          <w:highlight w:val="lightGray"/>
        </w:rPr>
      </w:pPr>
      <w:r w:rsidRPr="00C45350">
        <w:rPr>
          <w:highlight w:val="lightGray"/>
        </w:rPr>
        <w:t>LT/1/99/0689/011 – kalendorinė lizdinė plokštelė, N14</w:t>
      </w:r>
    </w:p>
    <w:p w14:paraId="1BBE45E2" w14:textId="77777777" w:rsidR="00912BDF" w:rsidRPr="00C45350" w:rsidRDefault="00912BDF" w:rsidP="00912BDF">
      <w:pPr>
        <w:rPr>
          <w:highlight w:val="lightGray"/>
        </w:rPr>
      </w:pPr>
      <w:r w:rsidRPr="00C45350">
        <w:rPr>
          <w:highlight w:val="lightGray"/>
        </w:rPr>
        <w:t>LT/1/99/0689/012 – kalendorinė lizdinė plokštelė, N28</w:t>
      </w:r>
    </w:p>
    <w:p w14:paraId="6D8BB0A9" w14:textId="77777777" w:rsidR="00912BDF" w:rsidRPr="00C45350" w:rsidRDefault="00912BDF" w:rsidP="00912BDF">
      <w:pPr>
        <w:rPr>
          <w:highlight w:val="lightGray"/>
        </w:rPr>
      </w:pPr>
      <w:r w:rsidRPr="00C45350">
        <w:rPr>
          <w:highlight w:val="lightGray"/>
        </w:rPr>
        <w:t>LT/1/99/0689/013 – kalendorinė lizdinė plokštelė, N56</w:t>
      </w:r>
    </w:p>
    <w:p w14:paraId="23054120" w14:textId="77777777" w:rsidR="00912BDF" w:rsidRPr="00C45350" w:rsidRDefault="00912BDF" w:rsidP="00912BDF">
      <w:pPr>
        <w:rPr>
          <w:highlight w:val="lightGray"/>
        </w:rPr>
      </w:pPr>
      <w:r w:rsidRPr="00C45350">
        <w:rPr>
          <w:highlight w:val="lightGray"/>
        </w:rPr>
        <w:t>LT/1/99/0689/014 – kalendorinė lizdinė plokštelė, N98</w:t>
      </w:r>
    </w:p>
    <w:p w14:paraId="1BA03AAD" w14:textId="77777777" w:rsidR="00912BDF" w:rsidRPr="00C45350" w:rsidRDefault="00912BDF" w:rsidP="00912BDF">
      <w:pPr>
        <w:autoSpaceDE w:val="0"/>
        <w:autoSpaceDN w:val="0"/>
        <w:adjustRightInd w:val="0"/>
        <w:rPr>
          <w:highlight w:val="lightGray"/>
        </w:rPr>
      </w:pPr>
      <w:r w:rsidRPr="00C45350">
        <w:rPr>
          <w:highlight w:val="lightGray"/>
        </w:rPr>
        <w:t>LT/1/99/0689/037 - lizdinė plokštelė, N15</w:t>
      </w:r>
    </w:p>
    <w:p w14:paraId="6CF7AE5A" w14:textId="77777777" w:rsidR="00912BDF" w:rsidRPr="00C45350" w:rsidRDefault="00912BDF" w:rsidP="00912BDF">
      <w:pPr>
        <w:autoSpaceDE w:val="0"/>
        <w:autoSpaceDN w:val="0"/>
        <w:adjustRightInd w:val="0"/>
        <w:rPr>
          <w:highlight w:val="lightGray"/>
        </w:rPr>
      </w:pPr>
      <w:r w:rsidRPr="00C45350">
        <w:rPr>
          <w:highlight w:val="lightGray"/>
        </w:rPr>
        <w:t>LT/1/99/0689/038 - lizdinė plokštelė, N15x1</w:t>
      </w:r>
    </w:p>
    <w:p w14:paraId="74E892AD" w14:textId="77777777" w:rsidR="00912BDF" w:rsidRPr="00C45350" w:rsidRDefault="00912BDF" w:rsidP="00912BDF">
      <w:pPr>
        <w:autoSpaceDE w:val="0"/>
        <w:autoSpaceDN w:val="0"/>
        <w:adjustRightInd w:val="0"/>
        <w:rPr>
          <w:highlight w:val="lightGray"/>
        </w:rPr>
      </w:pPr>
      <w:r w:rsidRPr="00C45350">
        <w:rPr>
          <w:highlight w:val="lightGray"/>
        </w:rPr>
        <w:t>LT/1/99/0689/039- lizdinė plokštelė, N20</w:t>
      </w:r>
    </w:p>
    <w:p w14:paraId="194FEAEA" w14:textId="77777777" w:rsidR="00912BDF" w:rsidRPr="00C45350" w:rsidRDefault="00912BDF" w:rsidP="00912BDF">
      <w:pPr>
        <w:autoSpaceDE w:val="0"/>
        <w:autoSpaceDN w:val="0"/>
        <w:adjustRightInd w:val="0"/>
        <w:rPr>
          <w:highlight w:val="lightGray"/>
        </w:rPr>
      </w:pPr>
      <w:r w:rsidRPr="00C45350">
        <w:rPr>
          <w:highlight w:val="lightGray"/>
        </w:rPr>
        <w:t>LT/1/99/0689/040- lizdinė plokštelė, N30</w:t>
      </w:r>
    </w:p>
    <w:p w14:paraId="29F3D46C" w14:textId="77777777" w:rsidR="00912BDF" w:rsidRPr="00C45350" w:rsidRDefault="00912BDF" w:rsidP="00912BDF">
      <w:pPr>
        <w:autoSpaceDE w:val="0"/>
        <w:autoSpaceDN w:val="0"/>
        <w:adjustRightInd w:val="0"/>
        <w:rPr>
          <w:highlight w:val="lightGray"/>
        </w:rPr>
      </w:pPr>
      <w:r w:rsidRPr="00C45350">
        <w:rPr>
          <w:highlight w:val="lightGray"/>
        </w:rPr>
        <w:t>LT/1/99/0689/041- lizdinė plokštelė, N30x1</w:t>
      </w:r>
    </w:p>
    <w:p w14:paraId="0A28FCAB" w14:textId="77777777" w:rsidR="00912BDF" w:rsidRPr="00C45350" w:rsidRDefault="00912BDF" w:rsidP="00912BDF">
      <w:pPr>
        <w:autoSpaceDE w:val="0"/>
        <w:autoSpaceDN w:val="0"/>
        <w:adjustRightInd w:val="0"/>
        <w:rPr>
          <w:highlight w:val="lightGray"/>
        </w:rPr>
      </w:pPr>
      <w:r w:rsidRPr="00C45350">
        <w:rPr>
          <w:highlight w:val="lightGray"/>
        </w:rPr>
        <w:t>LT/1/99/0689/042- lizdinė plokštelė, N50</w:t>
      </w:r>
    </w:p>
    <w:p w14:paraId="6171DFE5" w14:textId="77777777" w:rsidR="00912BDF" w:rsidRPr="00C45350" w:rsidRDefault="00912BDF" w:rsidP="00912BDF">
      <w:pPr>
        <w:autoSpaceDE w:val="0"/>
        <w:autoSpaceDN w:val="0"/>
        <w:adjustRightInd w:val="0"/>
        <w:rPr>
          <w:highlight w:val="lightGray"/>
        </w:rPr>
      </w:pPr>
      <w:r w:rsidRPr="00C45350">
        <w:rPr>
          <w:highlight w:val="lightGray"/>
        </w:rPr>
        <w:t>LT/1/99/0689/043- lizdinė plokštelė, N50x1</w:t>
      </w:r>
    </w:p>
    <w:p w14:paraId="68A741BC" w14:textId="77777777" w:rsidR="00912BDF" w:rsidRPr="00A913BF" w:rsidRDefault="00912BDF" w:rsidP="00912BDF">
      <w:pPr>
        <w:autoSpaceDE w:val="0"/>
        <w:autoSpaceDN w:val="0"/>
        <w:adjustRightInd w:val="0"/>
        <w:rPr>
          <w:szCs w:val="22"/>
        </w:rPr>
      </w:pPr>
      <w:r w:rsidRPr="00C45350">
        <w:rPr>
          <w:highlight w:val="lightGray"/>
        </w:rPr>
        <w:t>LT/1/99/0689/074 - lizdinė plokštelė, N90</w:t>
      </w:r>
    </w:p>
    <w:p w14:paraId="7391B890" w14:textId="77777777" w:rsidR="00912BDF" w:rsidRPr="00C45350" w:rsidRDefault="00912BDF" w:rsidP="00912BDF">
      <w:pPr>
        <w:autoSpaceDE w:val="0"/>
        <w:autoSpaceDN w:val="0"/>
        <w:adjustRightInd w:val="0"/>
        <w:rPr>
          <w:highlight w:val="lightGray"/>
        </w:rPr>
      </w:pPr>
      <w:r w:rsidRPr="00C45350">
        <w:rPr>
          <w:highlight w:val="lightGray"/>
        </w:rPr>
        <w:t>LT/1/99/0689/044- lizdinė plokštelė, N98x1</w:t>
      </w:r>
    </w:p>
    <w:p w14:paraId="38626266" w14:textId="77777777" w:rsidR="00912BDF" w:rsidRPr="00C45350" w:rsidRDefault="00912BDF" w:rsidP="00912BDF">
      <w:pPr>
        <w:autoSpaceDE w:val="0"/>
        <w:autoSpaceDN w:val="0"/>
        <w:adjustRightInd w:val="0"/>
        <w:rPr>
          <w:highlight w:val="lightGray"/>
        </w:rPr>
      </w:pPr>
      <w:r w:rsidRPr="00C45350">
        <w:rPr>
          <w:highlight w:val="lightGray"/>
        </w:rPr>
        <w:t>LT/1/99/0689/045- lizdinė plokštelė, N100</w:t>
      </w:r>
    </w:p>
    <w:p w14:paraId="3165C716" w14:textId="77777777" w:rsidR="00912BDF" w:rsidRPr="00C45350" w:rsidRDefault="00912BDF" w:rsidP="00912BDF">
      <w:pPr>
        <w:autoSpaceDE w:val="0"/>
        <w:autoSpaceDN w:val="0"/>
        <w:adjustRightInd w:val="0"/>
        <w:rPr>
          <w:highlight w:val="lightGray"/>
        </w:rPr>
      </w:pPr>
      <w:r w:rsidRPr="00C45350">
        <w:rPr>
          <w:highlight w:val="lightGray"/>
        </w:rPr>
        <w:t>LT/1/99/0689/046 - lizdinė plokštelė, N300</w:t>
      </w:r>
    </w:p>
    <w:p w14:paraId="28935D47" w14:textId="77777777" w:rsidR="00912BDF" w:rsidRPr="00C45350" w:rsidRDefault="00912BDF" w:rsidP="00912BDF">
      <w:pPr>
        <w:autoSpaceDE w:val="0"/>
        <w:autoSpaceDN w:val="0"/>
        <w:adjustRightInd w:val="0"/>
        <w:rPr>
          <w:highlight w:val="lightGray"/>
        </w:rPr>
      </w:pPr>
      <w:r w:rsidRPr="00C45350">
        <w:rPr>
          <w:highlight w:val="lightGray"/>
        </w:rPr>
        <w:t>LT/1/99/0689/047 - buteliukas, N100</w:t>
      </w:r>
    </w:p>
    <w:p w14:paraId="386E2ECE" w14:textId="77777777" w:rsidR="00912BDF" w:rsidRPr="00C45350" w:rsidRDefault="00912BDF" w:rsidP="00912BDF">
      <w:pPr>
        <w:autoSpaceDE w:val="0"/>
        <w:autoSpaceDN w:val="0"/>
        <w:adjustRightInd w:val="0"/>
        <w:rPr>
          <w:highlight w:val="lightGray"/>
        </w:rPr>
      </w:pPr>
      <w:r w:rsidRPr="00C45350">
        <w:rPr>
          <w:highlight w:val="lightGray"/>
        </w:rPr>
        <w:t>LT/1/99/0689/048 - buteliukas, N250</w:t>
      </w:r>
    </w:p>
    <w:p w14:paraId="76066FA5" w14:textId="77777777" w:rsidR="00912BDF" w:rsidRPr="00C45350" w:rsidRDefault="00912BDF" w:rsidP="00912BDF">
      <w:pPr>
        <w:autoSpaceDE w:val="0"/>
        <w:autoSpaceDN w:val="0"/>
        <w:adjustRightInd w:val="0"/>
        <w:rPr>
          <w:highlight w:val="lightGray"/>
        </w:rPr>
      </w:pPr>
    </w:p>
    <w:p w14:paraId="6FF612D6" w14:textId="77777777" w:rsidR="00912BDF" w:rsidRPr="00C45350" w:rsidRDefault="00912BDF" w:rsidP="00912BDF">
      <w:pPr>
        <w:autoSpaceDE w:val="0"/>
        <w:autoSpaceDN w:val="0"/>
        <w:adjustRightInd w:val="0"/>
        <w:rPr>
          <w:highlight w:val="lightGray"/>
        </w:rPr>
      </w:pPr>
      <w:r w:rsidRPr="00C45350">
        <w:rPr>
          <w:highlight w:val="lightGray"/>
        </w:rPr>
        <w:t>Atacand 16 mg tabletės</w:t>
      </w:r>
    </w:p>
    <w:p w14:paraId="4E3D8C5C" w14:textId="77777777" w:rsidR="00912BDF" w:rsidRPr="00C45350" w:rsidRDefault="00912BDF" w:rsidP="00912BDF">
      <w:pPr>
        <w:autoSpaceDE w:val="0"/>
        <w:autoSpaceDN w:val="0"/>
        <w:adjustRightInd w:val="0"/>
        <w:rPr>
          <w:highlight w:val="lightGray"/>
        </w:rPr>
      </w:pPr>
      <w:r w:rsidRPr="00C45350">
        <w:rPr>
          <w:highlight w:val="lightGray"/>
        </w:rPr>
        <w:t>LT/1/99/0689/003 – lizdinė plokštelė, N28</w:t>
      </w:r>
    </w:p>
    <w:p w14:paraId="2A3E7F90" w14:textId="77777777" w:rsidR="00912BDF" w:rsidRPr="00C45350" w:rsidRDefault="00912BDF" w:rsidP="00912BDF">
      <w:pPr>
        <w:rPr>
          <w:highlight w:val="lightGray"/>
        </w:rPr>
      </w:pPr>
      <w:r w:rsidRPr="00C45350">
        <w:rPr>
          <w:highlight w:val="lightGray"/>
        </w:rPr>
        <w:t>LT/1/99/0689/015 – kalendorinė lizdinė plokštelė, N7</w:t>
      </w:r>
    </w:p>
    <w:p w14:paraId="3AB07E7F" w14:textId="77777777" w:rsidR="00912BDF" w:rsidRPr="00C45350" w:rsidRDefault="00912BDF" w:rsidP="00912BDF">
      <w:pPr>
        <w:rPr>
          <w:highlight w:val="lightGray"/>
        </w:rPr>
      </w:pPr>
      <w:r w:rsidRPr="00C45350">
        <w:rPr>
          <w:highlight w:val="lightGray"/>
        </w:rPr>
        <w:t>LT/1/99/0689/016 – kalendorinė lizdinė plokštelė, N14</w:t>
      </w:r>
    </w:p>
    <w:p w14:paraId="1FF1970B" w14:textId="77777777" w:rsidR="00912BDF" w:rsidRPr="00C45350" w:rsidRDefault="00912BDF" w:rsidP="00912BDF">
      <w:pPr>
        <w:rPr>
          <w:highlight w:val="lightGray"/>
        </w:rPr>
      </w:pPr>
      <w:r w:rsidRPr="00C45350">
        <w:rPr>
          <w:highlight w:val="lightGray"/>
        </w:rPr>
        <w:t>LT/1/99/0689/017 – kalendorinė lizdinė plokštelė, N28</w:t>
      </w:r>
    </w:p>
    <w:p w14:paraId="123C50B9" w14:textId="77777777" w:rsidR="00912BDF" w:rsidRPr="00C45350" w:rsidRDefault="00912BDF" w:rsidP="00912BDF">
      <w:pPr>
        <w:rPr>
          <w:highlight w:val="lightGray"/>
        </w:rPr>
      </w:pPr>
      <w:r w:rsidRPr="00C45350">
        <w:rPr>
          <w:highlight w:val="lightGray"/>
        </w:rPr>
        <w:t>LT/1/99/0689/018 – kalendorinė lizdinė plokštelė, N56</w:t>
      </w:r>
    </w:p>
    <w:p w14:paraId="2EF186E0" w14:textId="77777777" w:rsidR="00912BDF" w:rsidRPr="00C45350" w:rsidRDefault="00912BDF" w:rsidP="00912BDF">
      <w:pPr>
        <w:rPr>
          <w:highlight w:val="lightGray"/>
        </w:rPr>
      </w:pPr>
      <w:r w:rsidRPr="00C45350">
        <w:rPr>
          <w:highlight w:val="lightGray"/>
        </w:rPr>
        <w:t>LT/1/99/0689/019 – kalendorinė lizdinė plokštelė, N98</w:t>
      </w:r>
    </w:p>
    <w:p w14:paraId="02D005A9" w14:textId="77777777" w:rsidR="00912BDF" w:rsidRPr="00C45350" w:rsidRDefault="00912BDF" w:rsidP="00912BDF">
      <w:pPr>
        <w:autoSpaceDE w:val="0"/>
        <w:autoSpaceDN w:val="0"/>
        <w:adjustRightInd w:val="0"/>
        <w:rPr>
          <w:highlight w:val="lightGray"/>
        </w:rPr>
      </w:pPr>
      <w:r w:rsidRPr="00C45350">
        <w:rPr>
          <w:highlight w:val="lightGray"/>
        </w:rPr>
        <w:t>LT/1/99/0689/049 - lizdinė plokštelė, N15</w:t>
      </w:r>
    </w:p>
    <w:p w14:paraId="0175E669" w14:textId="77777777" w:rsidR="00912BDF" w:rsidRPr="00C45350" w:rsidRDefault="00912BDF" w:rsidP="00912BDF">
      <w:pPr>
        <w:autoSpaceDE w:val="0"/>
        <w:autoSpaceDN w:val="0"/>
        <w:adjustRightInd w:val="0"/>
        <w:rPr>
          <w:highlight w:val="lightGray"/>
        </w:rPr>
      </w:pPr>
      <w:r w:rsidRPr="00C45350">
        <w:rPr>
          <w:highlight w:val="lightGray"/>
        </w:rPr>
        <w:t>LT/1/99/0689/050 - lizdinė plokštelė, N15x1</w:t>
      </w:r>
    </w:p>
    <w:p w14:paraId="2314FE99" w14:textId="77777777" w:rsidR="00912BDF" w:rsidRPr="00C45350" w:rsidRDefault="00912BDF" w:rsidP="00912BDF">
      <w:pPr>
        <w:autoSpaceDE w:val="0"/>
        <w:autoSpaceDN w:val="0"/>
        <w:adjustRightInd w:val="0"/>
        <w:rPr>
          <w:highlight w:val="lightGray"/>
        </w:rPr>
      </w:pPr>
      <w:r w:rsidRPr="00C45350">
        <w:rPr>
          <w:highlight w:val="lightGray"/>
        </w:rPr>
        <w:t>LT/1/99/0689/051- lizdinė plokštelė, N20</w:t>
      </w:r>
    </w:p>
    <w:p w14:paraId="777803BF" w14:textId="77777777" w:rsidR="00912BDF" w:rsidRPr="00C45350" w:rsidRDefault="00912BDF" w:rsidP="00912BDF">
      <w:pPr>
        <w:autoSpaceDE w:val="0"/>
        <w:autoSpaceDN w:val="0"/>
        <w:adjustRightInd w:val="0"/>
        <w:rPr>
          <w:highlight w:val="lightGray"/>
        </w:rPr>
      </w:pPr>
      <w:r w:rsidRPr="00C45350">
        <w:rPr>
          <w:highlight w:val="lightGray"/>
        </w:rPr>
        <w:t>LT/1/99/0689/052- lizdinė plokštelė, N30</w:t>
      </w:r>
    </w:p>
    <w:p w14:paraId="5234B115" w14:textId="77777777" w:rsidR="00912BDF" w:rsidRPr="00C45350" w:rsidRDefault="00912BDF" w:rsidP="00912BDF">
      <w:pPr>
        <w:autoSpaceDE w:val="0"/>
        <w:autoSpaceDN w:val="0"/>
        <w:adjustRightInd w:val="0"/>
        <w:rPr>
          <w:highlight w:val="lightGray"/>
        </w:rPr>
      </w:pPr>
      <w:r w:rsidRPr="00C45350">
        <w:rPr>
          <w:highlight w:val="lightGray"/>
        </w:rPr>
        <w:t>LT/1/99/0689/053- lizdinė plokštelė, N30x1</w:t>
      </w:r>
    </w:p>
    <w:p w14:paraId="4A7A4A12" w14:textId="77777777" w:rsidR="00912BDF" w:rsidRPr="00C45350" w:rsidRDefault="00912BDF" w:rsidP="00912BDF">
      <w:pPr>
        <w:autoSpaceDE w:val="0"/>
        <w:autoSpaceDN w:val="0"/>
        <w:adjustRightInd w:val="0"/>
        <w:rPr>
          <w:highlight w:val="lightGray"/>
        </w:rPr>
      </w:pPr>
      <w:r w:rsidRPr="00C45350">
        <w:rPr>
          <w:highlight w:val="lightGray"/>
        </w:rPr>
        <w:t>LT/1/99/0689/054- lizdinė plokštelė, N50</w:t>
      </w:r>
    </w:p>
    <w:p w14:paraId="50786D67" w14:textId="77777777" w:rsidR="00912BDF" w:rsidRPr="00C45350" w:rsidRDefault="00912BDF" w:rsidP="00912BDF">
      <w:pPr>
        <w:autoSpaceDE w:val="0"/>
        <w:autoSpaceDN w:val="0"/>
        <w:adjustRightInd w:val="0"/>
        <w:rPr>
          <w:highlight w:val="lightGray"/>
        </w:rPr>
      </w:pPr>
      <w:r w:rsidRPr="00C45350">
        <w:rPr>
          <w:highlight w:val="lightGray"/>
        </w:rPr>
        <w:t>LT/1/99/0689/055- lizdinė plokštelė, N50x1</w:t>
      </w:r>
    </w:p>
    <w:p w14:paraId="3709F298" w14:textId="77777777" w:rsidR="00912BDF" w:rsidRPr="00A913BF" w:rsidRDefault="00912BDF" w:rsidP="00912BDF">
      <w:pPr>
        <w:autoSpaceDE w:val="0"/>
        <w:autoSpaceDN w:val="0"/>
        <w:adjustRightInd w:val="0"/>
        <w:rPr>
          <w:szCs w:val="22"/>
        </w:rPr>
      </w:pPr>
      <w:r w:rsidRPr="00C45350">
        <w:rPr>
          <w:highlight w:val="lightGray"/>
        </w:rPr>
        <w:t>LT/1/99/0689/075 - lizdinė plokštelė, N90</w:t>
      </w:r>
    </w:p>
    <w:p w14:paraId="13AC7375" w14:textId="77777777" w:rsidR="00912BDF" w:rsidRPr="00C45350" w:rsidRDefault="00912BDF" w:rsidP="00912BDF">
      <w:pPr>
        <w:autoSpaceDE w:val="0"/>
        <w:autoSpaceDN w:val="0"/>
        <w:adjustRightInd w:val="0"/>
        <w:rPr>
          <w:highlight w:val="lightGray"/>
        </w:rPr>
      </w:pPr>
      <w:r w:rsidRPr="00C45350">
        <w:rPr>
          <w:highlight w:val="lightGray"/>
        </w:rPr>
        <w:t>LT/1/99/0689/056- lizdinė plokštelė, N98x1</w:t>
      </w:r>
    </w:p>
    <w:p w14:paraId="59D618DC" w14:textId="77777777" w:rsidR="00912BDF" w:rsidRPr="00C45350" w:rsidRDefault="00912BDF" w:rsidP="00912BDF">
      <w:pPr>
        <w:autoSpaceDE w:val="0"/>
        <w:autoSpaceDN w:val="0"/>
        <w:adjustRightInd w:val="0"/>
        <w:rPr>
          <w:highlight w:val="lightGray"/>
        </w:rPr>
      </w:pPr>
      <w:r w:rsidRPr="00C45350">
        <w:rPr>
          <w:highlight w:val="lightGray"/>
        </w:rPr>
        <w:t>LT/1/99/0689/057- lizdinė plokštelė, N100</w:t>
      </w:r>
    </w:p>
    <w:p w14:paraId="05848319" w14:textId="77777777" w:rsidR="00912BDF" w:rsidRPr="00C45350" w:rsidRDefault="00912BDF" w:rsidP="00912BDF">
      <w:pPr>
        <w:autoSpaceDE w:val="0"/>
        <w:autoSpaceDN w:val="0"/>
        <w:adjustRightInd w:val="0"/>
        <w:rPr>
          <w:highlight w:val="lightGray"/>
        </w:rPr>
      </w:pPr>
      <w:r w:rsidRPr="00C45350">
        <w:rPr>
          <w:highlight w:val="lightGray"/>
        </w:rPr>
        <w:t>LT/1/99/0689/058 - lizdinė plokštelė, N300</w:t>
      </w:r>
    </w:p>
    <w:p w14:paraId="47A5FB06" w14:textId="77777777" w:rsidR="00912BDF" w:rsidRPr="00C45350" w:rsidRDefault="00912BDF" w:rsidP="00912BDF">
      <w:pPr>
        <w:autoSpaceDE w:val="0"/>
        <w:autoSpaceDN w:val="0"/>
        <w:adjustRightInd w:val="0"/>
        <w:rPr>
          <w:highlight w:val="lightGray"/>
        </w:rPr>
      </w:pPr>
      <w:r w:rsidRPr="00C45350">
        <w:rPr>
          <w:highlight w:val="lightGray"/>
        </w:rPr>
        <w:t>LT/1/99/0689/059 - buteliukas, N100</w:t>
      </w:r>
    </w:p>
    <w:p w14:paraId="459BDDB6" w14:textId="77777777" w:rsidR="00912BDF" w:rsidRPr="00C45350" w:rsidRDefault="00912BDF" w:rsidP="00912BDF">
      <w:pPr>
        <w:autoSpaceDE w:val="0"/>
        <w:autoSpaceDN w:val="0"/>
        <w:adjustRightInd w:val="0"/>
        <w:rPr>
          <w:highlight w:val="lightGray"/>
        </w:rPr>
      </w:pPr>
      <w:r w:rsidRPr="00C45350">
        <w:rPr>
          <w:highlight w:val="lightGray"/>
        </w:rPr>
        <w:t>LT/1/99/0689/060 - buteliukas, N250</w:t>
      </w:r>
    </w:p>
    <w:p w14:paraId="0795625E" w14:textId="77777777" w:rsidR="00912BDF" w:rsidRPr="00C45350" w:rsidRDefault="00912BDF" w:rsidP="00912BDF">
      <w:pPr>
        <w:rPr>
          <w:highlight w:val="lightGray"/>
        </w:rPr>
      </w:pPr>
    </w:p>
    <w:p w14:paraId="08EB5C0F" w14:textId="77777777" w:rsidR="00912BDF" w:rsidRPr="00C45350" w:rsidRDefault="00912BDF" w:rsidP="00912BDF">
      <w:pPr>
        <w:rPr>
          <w:highlight w:val="lightGray"/>
        </w:rPr>
      </w:pPr>
      <w:r w:rsidRPr="00C45350">
        <w:rPr>
          <w:highlight w:val="lightGray"/>
        </w:rPr>
        <w:t xml:space="preserve">Atacand 32 mg tabletės </w:t>
      </w:r>
    </w:p>
    <w:p w14:paraId="48376FDC" w14:textId="77777777" w:rsidR="00912BDF" w:rsidRPr="00C45350" w:rsidRDefault="00912BDF" w:rsidP="00912BDF">
      <w:pPr>
        <w:rPr>
          <w:highlight w:val="lightGray"/>
        </w:rPr>
      </w:pPr>
      <w:r w:rsidRPr="00C45350">
        <w:rPr>
          <w:highlight w:val="lightGray"/>
        </w:rPr>
        <w:t>LT/1/99/0689/004 – lizdinė plokštelė, N28</w:t>
      </w:r>
    </w:p>
    <w:p w14:paraId="11CB1E8C" w14:textId="77777777" w:rsidR="00912BDF" w:rsidRPr="00C45350" w:rsidRDefault="00912BDF" w:rsidP="00912BDF">
      <w:pPr>
        <w:rPr>
          <w:highlight w:val="lightGray"/>
        </w:rPr>
      </w:pPr>
      <w:r w:rsidRPr="00C45350">
        <w:rPr>
          <w:highlight w:val="lightGray"/>
        </w:rPr>
        <w:t>LT/1/99/0689/020 – kalendorinė lizdinė plokštelė, N7</w:t>
      </w:r>
    </w:p>
    <w:p w14:paraId="385F893F" w14:textId="77777777" w:rsidR="00912BDF" w:rsidRPr="00C45350" w:rsidRDefault="00912BDF" w:rsidP="00912BDF">
      <w:pPr>
        <w:rPr>
          <w:highlight w:val="lightGray"/>
        </w:rPr>
      </w:pPr>
      <w:r w:rsidRPr="00C45350">
        <w:rPr>
          <w:highlight w:val="lightGray"/>
        </w:rPr>
        <w:t>LT/1/99/0689/021 – kalendorinė lizdinė plokštelė, N14</w:t>
      </w:r>
    </w:p>
    <w:p w14:paraId="44210C0E" w14:textId="77777777" w:rsidR="00912BDF" w:rsidRPr="00C45350" w:rsidRDefault="00912BDF" w:rsidP="00912BDF">
      <w:pPr>
        <w:rPr>
          <w:highlight w:val="lightGray"/>
        </w:rPr>
      </w:pPr>
      <w:r w:rsidRPr="00C45350">
        <w:rPr>
          <w:highlight w:val="lightGray"/>
        </w:rPr>
        <w:t>LT/1/99/0689/022 – kalendorinė lizdinė plokštelė, N28</w:t>
      </w:r>
    </w:p>
    <w:p w14:paraId="42D84A94" w14:textId="77777777" w:rsidR="00912BDF" w:rsidRPr="00C45350" w:rsidRDefault="00912BDF" w:rsidP="00912BDF">
      <w:pPr>
        <w:rPr>
          <w:highlight w:val="lightGray"/>
        </w:rPr>
      </w:pPr>
      <w:r w:rsidRPr="00C45350">
        <w:rPr>
          <w:highlight w:val="lightGray"/>
        </w:rPr>
        <w:t>LT/1/99/0689/023 – kalendorinė lizdinė plokštelė, N56</w:t>
      </w:r>
    </w:p>
    <w:p w14:paraId="7EB1F344" w14:textId="77777777" w:rsidR="00912BDF" w:rsidRPr="00C45350" w:rsidRDefault="00912BDF" w:rsidP="00912BDF">
      <w:pPr>
        <w:rPr>
          <w:highlight w:val="lightGray"/>
        </w:rPr>
      </w:pPr>
      <w:r w:rsidRPr="00C45350">
        <w:rPr>
          <w:highlight w:val="lightGray"/>
        </w:rPr>
        <w:t>LT/1/99/0689/024 – kalendorinė lizdinė plokštelė, N98</w:t>
      </w:r>
    </w:p>
    <w:p w14:paraId="0BCE804D" w14:textId="77777777" w:rsidR="00912BDF" w:rsidRPr="00C45350" w:rsidRDefault="00912BDF" w:rsidP="00912BDF">
      <w:pPr>
        <w:autoSpaceDE w:val="0"/>
        <w:autoSpaceDN w:val="0"/>
        <w:adjustRightInd w:val="0"/>
        <w:rPr>
          <w:highlight w:val="lightGray"/>
        </w:rPr>
      </w:pPr>
      <w:r w:rsidRPr="00C45350">
        <w:rPr>
          <w:highlight w:val="lightGray"/>
        </w:rPr>
        <w:t>LT/1/99/0689/061 - lizdinė plokštelė, N15</w:t>
      </w:r>
    </w:p>
    <w:p w14:paraId="0C1CC28C" w14:textId="77777777" w:rsidR="00912BDF" w:rsidRPr="00C45350" w:rsidRDefault="00912BDF" w:rsidP="00912BDF">
      <w:pPr>
        <w:autoSpaceDE w:val="0"/>
        <w:autoSpaceDN w:val="0"/>
        <w:adjustRightInd w:val="0"/>
        <w:rPr>
          <w:highlight w:val="lightGray"/>
        </w:rPr>
      </w:pPr>
      <w:r w:rsidRPr="00C45350">
        <w:rPr>
          <w:highlight w:val="lightGray"/>
        </w:rPr>
        <w:t>LT/1/99/0689/062 - lizdinė plokštelė, N15x1</w:t>
      </w:r>
    </w:p>
    <w:p w14:paraId="46602DA8" w14:textId="77777777" w:rsidR="00912BDF" w:rsidRPr="00C45350" w:rsidRDefault="00912BDF" w:rsidP="00912BDF">
      <w:pPr>
        <w:autoSpaceDE w:val="0"/>
        <w:autoSpaceDN w:val="0"/>
        <w:adjustRightInd w:val="0"/>
        <w:rPr>
          <w:highlight w:val="lightGray"/>
        </w:rPr>
      </w:pPr>
      <w:r w:rsidRPr="00C45350">
        <w:rPr>
          <w:highlight w:val="lightGray"/>
        </w:rPr>
        <w:t>LT/1/99/0689/063- lizdinė plokštelė, N20</w:t>
      </w:r>
    </w:p>
    <w:p w14:paraId="72C453BB" w14:textId="77777777" w:rsidR="00912BDF" w:rsidRPr="00C45350" w:rsidRDefault="00912BDF" w:rsidP="00912BDF">
      <w:pPr>
        <w:autoSpaceDE w:val="0"/>
        <w:autoSpaceDN w:val="0"/>
        <w:adjustRightInd w:val="0"/>
        <w:rPr>
          <w:highlight w:val="lightGray"/>
        </w:rPr>
      </w:pPr>
      <w:r w:rsidRPr="00C45350">
        <w:rPr>
          <w:highlight w:val="lightGray"/>
        </w:rPr>
        <w:t>LT/1/99/0689/064- lizdinė plokštelė, N30</w:t>
      </w:r>
    </w:p>
    <w:p w14:paraId="70CD14A2" w14:textId="77777777" w:rsidR="00912BDF" w:rsidRPr="00C45350" w:rsidRDefault="00912BDF" w:rsidP="00912BDF">
      <w:pPr>
        <w:autoSpaceDE w:val="0"/>
        <w:autoSpaceDN w:val="0"/>
        <w:adjustRightInd w:val="0"/>
        <w:rPr>
          <w:highlight w:val="lightGray"/>
        </w:rPr>
      </w:pPr>
      <w:r w:rsidRPr="00C45350">
        <w:rPr>
          <w:highlight w:val="lightGray"/>
        </w:rPr>
        <w:t>LT/1/99/0689/065- lizdinė plokštelė, N30x1</w:t>
      </w:r>
    </w:p>
    <w:p w14:paraId="069D73AE" w14:textId="77777777" w:rsidR="00912BDF" w:rsidRPr="00C45350" w:rsidRDefault="00912BDF" w:rsidP="00912BDF">
      <w:pPr>
        <w:autoSpaceDE w:val="0"/>
        <w:autoSpaceDN w:val="0"/>
        <w:adjustRightInd w:val="0"/>
        <w:rPr>
          <w:highlight w:val="lightGray"/>
        </w:rPr>
      </w:pPr>
      <w:r w:rsidRPr="00C45350">
        <w:rPr>
          <w:highlight w:val="lightGray"/>
        </w:rPr>
        <w:t>LT/1/99/0689/066- lizdinė plokštelė, N50</w:t>
      </w:r>
    </w:p>
    <w:p w14:paraId="616B922E" w14:textId="77777777" w:rsidR="00912BDF" w:rsidRPr="00C45350" w:rsidRDefault="00912BDF" w:rsidP="00912BDF">
      <w:pPr>
        <w:autoSpaceDE w:val="0"/>
        <w:autoSpaceDN w:val="0"/>
        <w:adjustRightInd w:val="0"/>
        <w:rPr>
          <w:highlight w:val="lightGray"/>
        </w:rPr>
      </w:pPr>
      <w:r w:rsidRPr="00C45350">
        <w:rPr>
          <w:highlight w:val="lightGray"/>
        </w:rPr>
        <w:lastRenderedPageBreak/>
        <w:t>LT/1/99/0689/067- lizdinė plokštelė, N50x1</w:t>
      </w:r>
    </w:p>
    <w:p w14:paraId="76D3E2D9" w14:textId="77777777" w:rsidR="00912BDF" w:rsidRPr="00A913BF" w:rsidRDefault="00912BDF" w:rsidP="00912BDF">
      <w:pPr>
        <w:autoSpaceDE w:val="0"/>
        <w:autoSpaceDN w:val="0"/>
        <w:adjustRightInd w:val="0"/>
        <w:rPr>
          <w:szCs w:val="22"/>
        </w:rPr>
      </w:pPr>
      <w:r w:rsidRPr="00C45350">
        <w:rPr>
          <w:highlight w:val="lightGray"/>
        </w:rPr>
        <w:t>LT/1/99/0689/076 - lizdinė plokštelė, N90</w:t>
      </w:r>
    </w:p>
    <w:p w14:paraId="39B28D80" w14:textId="77777777" w:rsidR="00912BDF" w:rsidRPr="00C45350" w:rsidRDefault="00912BDF" w:rsidP="00912BDF">
      <w:pPr>
        <w:autoSpaceDE w:val="0"/>
        <w:autoSpaceDN w:val="0"/>
        <w:adjustRightInd w:val="0"/>
        <w:rPr>
          <w:highlight w:val="lightGray"/>
        </w:rPr>
      </w:pPr>
      <w:r w:rsidRPr="00C45350">
        <w:rPr>
          <w:highlight w:val="lightGray"/>
        </w:rPr>
        <w:t>LT/1/99/0689/068- lizdinė plokštelė, N98x1</w:t>
      </w:r>
    </w:p>
    <w:p w14:paraId="11EB4C48" w14:textId="77777777" w:rsidR="00912BDF" w:rsidRPr="00C45350" w:rsidRDefault="00912BDF" w:rsidP="00912BDF">
      <w:pPr>
        <w:autoSpaceDE w:val="0"/>
        <w:autoSpaceDN w:val="0"/>
        <w:adjustRightInd w:val="0"/>
        <w:rPr>
          <w:highlight w:val="lightGray"/>
        </w:rPr>
      </w:pPr>
      <w:r w:rsidRPr="00C45350">
        <w:rPr>
          <w:highlight w:val="lightGray"/>
        </w:rPr>
        <w:t>LT/1/99/0689/069- lizdinė plokštelė, N100</w:t>
      </w:r>
    </w:p>
    <w:p w14:paraId="0ADA2566" w14:textId="77777777" w:rsidR="00912BDF" w:rsidRPr="00C45350" w:rsidRDefault="00912BDF" w:rsidP="00912BDF">
      <w:pPr>
        <w:autoSpaceDE w:val="0"/>
        <w:autoSpaceDN w:val="0"/>
        <w:adjustRightInd w:val="0"/>
        <w:rPr>
          <w:highlight w:val="lightGray"/>
        </w:rPr>
      </w:pPr>
      <w:r w:rsidRPr="00C45350">
        <w:rPr>
          <w:highlight w:val="lightGray"/>
        </w:rPr>
        <w:t>LT/1/99/0689/070 - lizdinė plokštelė, N300</w:t>
      </w:r>
    </w:p>
    <w:p w14:paraId="6DD97937" w14:textId="77777777" w:rsidR="00912BDF" w:rsidRPr="00C45350" w:rsidRDefault="00912BDF" w:rsidP="00912BDF">
      <w:pPr>
        <w:autoSpaceDE w:val="0"/>
        <w:autoSpaceDN w:val="0"/>
        <w:adjustRightInd w:val="0"/>
        <w:rPr>
          <w:highlight w:val="lightGray"/>
        </w:rPr>
      </w:pPr>
      <w:r w:rsidRPr="00C45350">
        <w:rPr>
          <w:highlight w:val="lightGray"/>
        </w:rPr>
        <w:t>LT/1/99/0689/071 - buteliukas, N100</w:t>
      </w:r>
    </w:p>
    <w:p w14:paraId="4B0C37E7" w14:textId="77777777" w:rsidR="00912BDF" w:rsidRPr="00A913BF" w:rsidRDefault="00912BDF" w:rsidP="00912BDF">
      <w:pPr>
        <w:autoSpaceDE w:val="0"/>
        <w:autoSpaceDN w:val="0"/>
        <w:adjustRightInd w:val="0"/>
        <w:rPr>
          <w:szCs w:val="22"/>
        </w:rPr>
      </w:pPr>
      <w:r w:rsidRPr="00C45350">
        <w:rPr>
          <w:highlight w:val="lightGray"/>
        </w:rPr>
        <w:t>LT/1/99/0689/072 - buteliukas, N250</w:t>
      </w:r>
    </w:p>
    <w:p w14:paraId="2EC97BC0" w14:textId="77777777" w:rsidR="00912BDF" w:rsidRPr="00A913BF" w:rsidRDefault="00912BDF" w:rsidP="00912BDF">
      <w:pPr>
        <w:rPr>
          <w:szCs w:val="22"/>
        </w:rPr>
      </w:pPr>
    </w:p>
    <w:p w14:paraId="029D3EA2" w14:textId="77777777" w:rsidR="00912BDF" w:rsidRPr="00A913BF" w:rsidRDefault="00912BDF" w:rsidP="00912BDF">
      <w:pPr>
        <w:rPr>
          <w:szCs w:val="22"/>
        </w:rPr>
      </w:pPr>
    </w:p>
    <w:p w14:paraId="65788412"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40" w:hanging="540"/>
        <w:outlineLvl w:val="0"/>
        <w:rPr>
          <w:szCs w:val="22"/>
        </w:rPr>
      </w:pPr>
      <w:r w:rsidRPr="00A913BF">
        <w:rPr>
          <w:b/>
          <w:szCs w:val="22"/>
        </w:rPr>
        <w:t>13.</w:t>
      </w:r>
      <w:r w:rsidRPr="00A913BF">
        <w:rPr>
          <w:b/>
          <w:szCs w:val="22"/>
        </w:rPr>
        <w:tab/>
        <w:t>SERIJOS NUMERIS</w:t>
      </w:r>
    </w:p>
    <w:p w14:paraId="5B6FA1B9" w14:textId="77777777" w:rsidR="00912BDF" w:rsidRPr="00A913BF" w:rsidRDefault="00912BDF" w:rsidP="00912BDF">
      <w:pPr>
        <w:rPr>
          <w:szCs w:val="22"/>
        </w:rPr>
      </w:pPr>
    </w:p>
    <w:p w14:paraId="649C185C" w14:textId="77777777" w:rsidR="00912BDF" w:rsidRPr="00A913BF" w:rsidRDefault="00912BDF" w:rsidP="00912BDF">
      <w:pPr>
        <w:rPr>
          <w:szCs w:val="22"/>
        </w:rPr>
      </w:pPr>
      <w:r w:rsidRPr="00A913BF">
        <w:rPr>
          <w:szCs w:val="22"/>
        </w:rPr>
        <w:t>Serija</w:t>
      </w:r>
    </w:p>
    <w:p w14:paraId="535F7FAD" w14:textId="77777777" w:rsidR="00912BDF" w:rsidRPr="00A913BF" w:rsidRDefault="00912BDF" w:rsidP="00912BDF">
      <w:pPr>
        <w:rPr>
          <w:szCs w:val="22"/>
        </w:rPr>
      </w:pPr>
    </w:p>
    <w:p w14:paraId="11B1EC2A" w14:textId="77777777" w:rsidR="00912BDF" w:rsidRPr="00A913BF" w:rsidRDefault="00912BDF" w:rsidP="00912BDF">
      <w:pPr>
        <w:rPr>
          <w:szCs w:val="22"/>
        </w:rPr>
      </w:pPr>
    </w:p>
    <w:p w14:paraId="71BDB257"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40" w:hanging="540"/>
        <w:outlineLvl w:val="0"/>
        <w:rPr>
          <w:szCs w:val="22"/>
        </w:rPr>
      </w:pPr>
      <w:r w:rsidRPr="00A913BF">
        <w:rPr>
          <w:b/>
          <w:szCs w:val="22"/>
        </w:rPr>
        <w:t>14.</w:t>
      </w:r>
      <w:r w:rsidRPr="00A913BF">
        <w:rPr>
          <w:b/>
          <w:szCs w:val="22"/>
        </w:rPr>
        <w:tab/>
        <w:t xml:space="preserve">PARDAVIMO </w:t>
      </w:r>
      <w:r w:rsidRPr="00A913BF">
        <w:rPr>
          <w:rStyle w:val="Antrat1Diagrama"/>
          <w:bCs/>
          <w:szCs w:val="22"/>
        </w:rPr>
        <w:t>(IŠDAVIMO)</w:t>
      </w:r>
      <w:r w:rsidRPr="00A913BF">
        <w:rPr>
          <w:b/>
          <w:caps/>
          <w:szCs w:val="22"/>
        </w:rPr>
        <w:t xml:space="preserve"> tvarka</w:t>
      </w:r>
    </w:p>
    <w:p w14:paraId="156F9E75" w14:textId="77777777" w:rsidR="00912BDF" w:rsidRPr="00A913BF" w:rsidRDefault="00912BDF" w:rsidP="00912BDF">
      <w:pPr>
        <w:rPr>
          <w:szCs w:val="22"/>
        </w:rPr>
      </w:pPr>
    </w:p>
    <w:p w14:paraId="761EA2E0" w14:textId="77777777" w:rsidR="00912BDF" w:rsidRPr="00A913BF" w:rsidRDefault="00912BDF" w:rsidP="00912BDF">
      <w:pPr>
        <w:rPr>
          <w:szCs w:val="22"/>
          <w:lang w:eastAsia="lt-LT"/>
        </w:rPr>
      </w:pPr>
      <w:r w:rsidRPr="00A913BF">
        <w:rPr>
          <w:szCs w:val="22"/>
          <w:lang w:eastAsia="lt-LT"/>
        </w:rPr>
        <w:t>Receptinis vaist</w:t>
      </w:r>
      <w:r>
        <w:rPr>
          <w:szCs w:val="22"/>
          <w:lang w:eastAsia="lt-LT"/>
        </w:rPr>
        <w:t>as</w:t>
      </w:r>
    </w:p>
    <w:p w14:paraId="105B6A4F" w14:textId="77777777" w:rsidR="00912BDF" w:rsidRPr="00A913BF" w:rsidRDefault="00912BDF" w:rsidP="00912BDF">
      <w:pPr>
        <w:rPr>
          <w:szCs w:val="22"/>
        </w:rPr>
      </w:pPr>
    </w:p>
    <w:p w14:paraId="1E0A00CA" w14:textId="77777777" w:rsidR="00912BDF" w:rsidRPr="00A913BF" w:rsidRDefault="00912BDF" w:rsidP="00912BDF">
      <w:pPr>
        <w:rPr>
          <w:szCs w:val="22"/>
        </w:rPr>
      </w:pPr>
    </w:p>
    <w:p w14:paraId="00CCFFAE"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40" w:hanging="540"/>
        <w:outlineLvl w:val="0"/>
        <w:rPr>
          <w:szCs w:val="22"/>
        </w:rPr>
      </w:pPr>
      <w:r w:rsidRPr="00A913BF">
        <w:rPr>
          <w:b/>
          <w:szCs w:val="22"/>
        </w:rPr>
        <w:t>15.</w:t>
      </w:r>
      <w:r w:rsidRPr="00A913BF">
        <w:rPr>
          <w:b/>
          <w:szCs w:val="22"/>
        </w:rPr>
        <w:tab/>
      </w:r>
      <w:r w:rsidRPr="00A913BF">
        <w:rPr>
          <w:b/>
          <w:caps/>
          <w:szCs w:val="22"/>
        </w:rPr>
        <w:t>vartojimo instrukcijA</w:t>
      </w:r>
    </w:p>
    <w:p w14:paraId="537975D3" w14:textId="77777777" w:rsidR="00912BDF" w:rsidRPr="00A913BF" w:rsidRDefault="00912BDF" w:rsidP="00912BDF">
      <w:pPr>
        <w:rPr>
          <w:szCs w:val="22"/>
        </w:rPr>
      </w:pPr>
    </w:p>
    <w:p w14:paraId="75AA01A8" w14:textId="77777777" w:rsidR="00912BDF" w:rsidRPr="00A913BF" w:rsidRDefault="00912BDF" w:rsidP="00912BDF">
      <w:pPr>
        <w:rPr>
          <w:szCs w:val="22"/>
        </w:rPr>
      </w:pPr>
    </w:p>
    <w:p w14:paraId="160E85D1"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40" w:hanging="540"/>
        <w:outlineLvl w:val="0"/>
        <w:rPr>
          <w:szCs w:val="22"/>
        </w:rPr>
      </w:pPr>
      <w:r w:rsidRPr="00A913BF">
        <w:rPr>
          <w:b/>
          <w:szCs w:val="22"/>
        </w:rPr>
        <w:t>16.</w:t>
      </w:r>
      <w:r w:rsidRPr="00A913BF">
        <w:rPr>
          <w:b/>
          <w:szCs w:val="22"/>
        </w:rPr>
        <w:tab/>
        <w:t>INFORMACIJA BRAILIO RAŠTU</w:t>
      </w:r>
    </w:p>
    <w:p w14:paraId="46305919" w14:textId="77777777" w:rsidR="00912BDF" w:rsidRPr="00A913BF" w:rsidRDefault="00912BDF" w:rsidP="00912BDF">
      <w:pPr>
        <w:rPr>
          <w:szCs w:val="22"/>
        </w:rPr>
      </w:pPr>
    </w:p>
    <w:p w14:paraId="47D6FA6F" w14:textId="77777777" w:rsidR="00912BDF" w:rsidRPr="00A913BF" w:rsidRDefault="00912BDF" w:rsidP="00912BDF">
      <w:pPr>
        <w:autoSpaceDE w:val="0"/>
        <w:autoSpaceDN w:val="0"/>
        <w:adjustRightInd w:val="0"/>
        <w:rPr>
          <w:szCs w:val="22"/>
          <w:lang w:eastAsia="lt-LT"/>
        </w:rPr>
      </w:pPr>
      <w:r w:rsidRPr="00A913BF">
        <w:rPr>
          <w:szCs w:val="22"/>
          <w:lang w:eastAsia="lt-LT"/>
        </w:rPr>
        <w:t>Atacand 4 mg</w:t>
      </w:r>
    </w:p>
    <w:p w14:paraId="1D5252D0" w14:textId="77777777" w:rsidR="00912BDF" w:rsidRPr="00C45350" w:rsidRDefault="00912BDF" w:rsidP="00912BDF">
      <w:pPr>
        <w:autoSpaceDE w:val="0"/>
        <w:autoSpaceDN w:val="0"/>
        <w:adjustRightInd w:val="0"/>
        <w:rPr>
          <w:highlight w:val="lightGray"/>
        </w:rPr>
      </w:pPr>
      <w:r w:rsidRPr="00C45350">
        <w:rPr>
          <w:highlight w:val="lightGray"/>
        </w:rPr>
        <w:t>Atacand 8 mg</w:t>
      </w:r>
    </w:p>
    <w:p w14:paraId="7A3FAAE9" w14:textId="77777777" w:rsidR="00912BDF" w:rsidRPr="00C45350" w:rsidRDefault="00912BDF" w:rsidP="00912BDF">
      <w:pPr>
        <w:autoSpaceDE w:val="0"/>
        <w:autoSpaceDN w:val="0"/>
        <w:adjustRightInd w:val="0"/>
        <w:rPr>
          <w:highlight w:val="lightGray"/>
        </w:rPr>
      </w:pPr>
      <w:r w:rsidRPr="00C45350">
        <w:rPr>
          <w:highlight w:val="lightGray"/>
        </w:rPr>
        <w:t>Atacand 16 mg</w:t>
      </w:r>
    </w:p>
    <w:p w14:paraId="778C9312" w14:textId="77777777" w:rsidR="00912BDF" w:rsidRDefault="00912BDF" w:rsidP="00912BDF">
      <w:r w:rsidRPr="00C45350">
        <w:rPr>
          <w:highlight w:val="lightGray"/>
        </w:rPr>
        <w:t>Atacand 32 mg</w:t>
      </w:r>
    </w:p>
    <w:p w14:paraId="66F2FF11" w14:textId="77777777" w:rsidR="00912BDF" w:rsidRDefault="00912BDF" w:rsidP="00912BDF"/>
    <w:p w14:paraId="13300DD0" w14:textId="77777777" w:rsidR="00912BDF" w:rsidRPr="000801D7" w:rsidRDefault="00912BDF" w:rsidP="00912BDF">
      <w:pPr>
        <w:rPr>
          <w:szCs w:val="22"/>
          <w:shd w:val="clear" w:color="auto" w:fill="CCCCCC"/>
        </w:rPr>
      </w:pPr>
    </w:p>
    <w:p w14:paraId="358EA7D9" w14:textId="77777777" w:rsidR="00912BDF" w:rsidRPr="000801D7" w:rsidRDefault="00912BDF" w:rsidP="00912BDF">
      <w:pPr>
        <w:keepNext/>
        <w:pBdr>
          <w:top w:val="single" w:sz="4" w:space="1" w:color="auto"/>
          <w:left w:val="single" w:sz="4" w:space="4" w:color="auto"/>
          <w:bottom w:val="single" w:sz="4" w:space="1" w:color="auto"/>
          <w:right w:val="single" w:sz="4" w:space="4" w:color="auto"/>
        </w:pBdr>
        <w:outlineLvl w:val="0"/>
        <w:rPr>
          <w:i/>
        </w:rPr>
      </w:pPr>
      <w:r w:rsidRPr="000801D7">
        <w:rPr>
          <w:b/>
        </w:rPr>
        <w:t>17.</w:t>
      </w:r>
      <w:r w:rsidRPr="000801D7">
        <w:rPr>
          <w:b/>
        </w:rPr>
        <w:tab/>
        <w:t>UNIKALUS IDENTIFIKATORIUS – 2D BRŪKŠNINIS KODAS</w:t>
      </w:r>
    </w:p>
    <w:p w14:paraId="3CCA0E04" w14:textId="77777777" w:rsidR="00912BDF" w:rsidRPr="000801D7" w:rsidRDefault="00912BDF" w:rsidP="00912BDF"/>
    <w:p w14:paraId="2E8895A8" w14:textId="77777777" w:rsidR="00912BDF" w:rsidRPr="000801D7" w:rsidRDefault="00912BDF" w:rsidP="00912BDF">
      <w:pPr>
        <w:rPr>
          <w:szCs w:val="22"/>
          <w:shd w:val="clear" w:color="auto" w:fill="CCCCCC"/>
        </w:rPr>
      </w:pPr>
      <w:r w:rsidRPr="00C45350">
        <w:rPr>
          <w:highlight w:val="lightGray"/>
        </w:rPr>
        <w:t>2D brūkšninis kodas su nurodytu unikaliu identifikatoriumi.</w:t>
      </w:r>
    </w:p>
    <w:p w14:paraId="48E21E94" w14:textId="77777777" w:rsidR="00912BDF" w:rsidRPr="000801D7" w:rsidRDefault="00912BDF" w:rsidP="00912BDF"/>
    <w:p w14:paraId="25BBF7B9" w14:textId="77777777" w:rsidR="00912BDF" w:rsidRPr="000801D7" w:rsidRDefault="00912BDF" w:rsidP="00912BDF"/>
    <w:p w14:paraId="371B3386" w14:textId="77777777" w:rsidR="00912BDF" w:rsidRPr="000801D7" w:rsidRDefault="00912BDF" w:rsidP="00912BDF">
      <w:pPr>
        <w:keepNext/>
        <w:pBdr>
          <w:top w:val="single" w:sz="4" w:space="1" w:color="auto"/>
          <w:left w:val="single" w:sz="4" w:space="4" w:color="auto"/>
          <w:bottom w:val="single" w:sz="4" w:space="1" w:color="auto"/>
          <w:right w:val="single" w:sz="4" w:space="4" w:color="auto"/>
        </w:pBdr>
        <w:outlineLvl w:val="0"/>
        <w:rPr>
          <w:i/>
        </w:rPr>
      </w:pPr>
      <w:r w:rsidRPr="000801D7">
        <w:rPr>
          <w:b/>
        </w:rPr>
        <w:t>18.</w:t>
      </w:r>
      <w:r w:rsidRPr="000801D7">
        <w:rPr>
          <w:b/>
        </w:rPr>
        <w:tab/>
        <w:t>UNIKALUS IDENTIFIKATORIUS – ŽMONĖMS SUPRANTAMI DUOMENYS</w:t>
      </w:r>
    </w:p>
    <w:p w14:paraId="299461D0" w14:textId="77777777" w:rsidR="00912BDF" w:rsidRPr="000801D7" w:rsidRDefault="00912BDF" w:rsidP="00912BDF"/>
    <w:p w14:paraId="3C794300" w14:textId="77777777" w:rsidR="00912BDF" w:rsidRPr="000801D7" w:rsidRDefault="00912BDF" w:rsidP="00912BDF">
      <w:pPr>
        <w:rPr>
          <w:color w:val="008000"/>
          <w:szCs w:val="22"/>
        </w:rPr>
      </w:pPr>
      <w:r w:rsidRPr="000801D7">
        <w:t>PC:</w:t>
      </w:r>
    </w:p>
    <w:p w14:paraId="130C3A0F" w14:textId="77777777" w:rsidR="00912BDF" w:rsidRPr="000801D7" w:rsidRDefault="00912BDF" w:rsidP="00912BDF">
      <w:pPr>
        <w:rPr>
          <w:szCs w:val="22"/>
        </w:rPr>
      </w:pPr>
      <w:r w:rsidRPr="000801D7">
        <w:t>SN:</w:t>
      </w:r>
    </w:p>
    <w:p w14:paraId="571C09DF" w14:textId="77777777" w:rsidR="00912BDF" w:rsidRDefault="00912BDF" w:rsidP="00912BDF">
      <w:r w:rsidRPr="000801D7">
        <w:t>NN:</w:t>
      </w:r>
    </w:p>
    <w:p w14:paraId="69B3813B" w14:textId="77777777" w:rsidR="00912BDF" w:rsidRPr="00A913BF" w:rsidRDefault="00912BDF" w:rsidP="00912BDF">
      <w:pPr>
        <w:shd w:val="clear" w:color="auto" w:fill="FFFFFF"/>
        <w:rPr>
          <w:szCs w:val="22"/>
        </w:rPr>
      </w:pPr>
      <w:r>
        <w:br w:type="page"/>
      </w:r>
    </w:p>
    <w:p w14:paraId="2671B0BE" w14:textId="77777777" w:rsidR="00912BDF" w:rsidRPr="00A913BF" w:rsidRDefault="00912BDF" w:rsidP="00912BDF">
      <w:pPr>
        <w:pBdr>
          <w:top w:val="single" w:sz="4" w:space="1" w:color="auto"/>
          <w:left w:val="single" w:sz="4" w:space="4" w:color="auto"/>
          <w:bottom w:val="single" w:sz="4" w:space="1" w:color="auto"/>
          <w:right w:val="single" w:sz="4" w:space="4" w:color="auto"/>
        </w:pBdr>
        <w:rPr>
          <w:b/>
          <w:szCs w:val="22"/>
        </w:rPr>
      </w:pPr>
      <w:r w:rsidRPr="00A913BF">
        <w:rPr>
          <w:b/>
          <w:szCs w:val="22"/>
        </w:rPr>
        <w:lastRenderedPageBreak/>
        <w:t xml:space="preserve">INFORMACIJA ANT </w:t>
      </w:r>
      <w:r>
        <w:rPr>
          <w:b/>
          <w:szCs w:val="22"/>
        </w:rPr>
        <w:t xml:space="preserve">VIDINĖS </w:t>
      </w:r>
      <w:r w:rsidRPr="00A913BF">
        <w:rPr>
          <w:b/>
          <w:szCs w:val="22"/>
        </w:rPr>
        <w:t>PAKUOTĖS</w:t>
      </w:r>
    </w:p>
    <w:p w14:paraId="7296299C" w14:textId="77777777" w:rsidR="00912BDF" w:rsidRPr="00A913BF" w:rsidRDefault="00912BDF" w:rsidP="00912BDF">
      <w:pPr>
        <w:pBdr>
          <w:top w:val="single" w:sz="4" w:space="1" w:color="auto"/>
          <w:left w:val="single" w:sz="4" w:space="4" w:color="auto"/>
          <w:bottom w:val="single" w:sz="4" w:space="1" w:color="auto"/>
          <w:right w:val="single" w:sz="4" w:space="4" w:color="auto"/>
        </w:pBdr>
        <w:rPr>
          <w:b/>
          <w:bCs/>
          <w:szCs w:val="22"/>
        </w:rPr>
      </w:pPr>
    </w:p>
    <w:p w14:paraId="05C7358B" w14:textId="77777777" w:rsidR="00912BDF" w:rsidRPr="00A913BF" w:rsidRDefault="00912BDF" w:rsidP="00912BDF">
      <w:pPr>
        <w:pBdr>
          <w:top w:val="single" w:sz="4" w:space="1" w:color="auto"/>
          <w:left w:val="single" w:sz="4" w:space="4" w:color="auto"/>
          <w:bottom w:val="single" w:sz="4" w:space="1" w:color="auto"/>
          <w:right w:val="single" w:sz="4" w:space="4" w:color="auto"/>
        </w:pBdr>
        <w:rPr>
          <w:b/>
          <w:bCs/>
          <w:szCs w:val="22"/>
        </w:rPr>
      </w:pPr>
      <w:r w:rsidRPr="00A913BF">
        <w:rPr>
          <w:b/>
          <w:bCs/>
          <w:szCs w:val="22"/>
        </w:rPr>
        <w:t xml:space="preserve">BUTELIUKO </w:t>
      </w:r>
      <w:r>
        <w:rPr>
          <w:b/>
          <w:bCs/>
          <w:szCs w:val="22"/>
        </w:rPr>
        <w:t>ETIKETĖ</w:t>
      </w:r>
    </w:p>
    <w:p w14:paraId="465DD051" w14:textId="77777777" w:rsidR="00912BDF" w:rsidRPr="00A913BF" w:rsidRDefault="00912BDF" w:rsidP="00912BDF">
      <w:pPr>
        <w:rPr>
          <w:b/>
          <w:bCs/>
          <w:szCs w:val="22"/>
        </w:rPr>
      </w:pPr>
    </w:p>
    <w:p w14:paraId="180D7D75"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67" w:hanging="567"/>
        <w:outlineLvl w:val="0"/>
        <w:rPr>
          <w:szCs w:val="22"/>
        </w:rPr>
      </w:pPr>
      <w:r w:rsidRPr="00A913BF">
        <w:rPr>
          <w:b/>
          <w:szCs w:val="22"/>
        </w:rPr>
        <w:t>1.</w:t>
      </w:r>
      <w:r w:rsidRPr="00A913BF">
        <w:rPr>
          <w:b/>
          <w:szCs w:val="22"/>
        </w:rPr>
        <w:tab/>
        <w:t>VAISTINIO PREPARATO PAVADINIMAS</w:t>
      </w:r>
    </w:p>
    <w:p w14:paraId="5892B6A9" w14:textId="77777777" w:rsidR="00912BDF" w:rsidRPr="00A913BF" w:rsidRDefault="00912BDF" w:rsidP="00912BDF">
      <w:pPr>
        <w:rPr>
          <w:szCs w:val="22"/>
        </w:rPr>
      </w:pPr>
    </w:p>
    <w:p w14:paraId="0F766456" w14:textId="77777777" w:rsidR="00912BDF" w:rsidRPr="00A913BF" w:rsidRDefault="00912BDF" w:rsidP="00912BDF">
      <w:pPr>
        <w:autoSpaceDE w:val="0"/>
        <w:autoSpaceDN w:val="0"/>
        <w:adjustRightInd w:val="0"/>
        <w:rPr>
          <w:szCs w:val="22"/>
          <w:lang w:eastAsia="lt-LT"/>
        </w:rPr>
      </w:pPr>
      <w:r w:rsidRPr="00A913BF">
        <w:rPr>
          <w:szCs w:val="22"/>
          <w:lang w:eastAsia="lt-LT"/>
        </w:rPr>
        <w:t>Atacand 4 mg tabletės</w:t>
      </w:r>
    </w:p>
    <w:p w14:paraId="4BF40325" w14:textId="77777777" w:rsidR="00912BDF" w:rsidRPr="00C45350" w:rsidRDefault="00912BDF" w:rsidP="00912BDF">
      <w:pPr>
        <w:autoSpaceDE w:val="0"/>
        <w:autoSpaceDN w:val="0"/>
        <w:adjustRightInd w:val="0"/>
        <w:rPr>
          <w:highlight w:val="lightGray"/>
        </w:rPr>
      </w:pPr>
      <w:r w:rsidRPr="00C45350">
        <w:rPr>
          <w:highlight w:val="lightGray"/>
        </w:rPr>
        <w:t>Atacand 8 mg tabletės</w:t>
      </w:r>
    </w:p>
    <w:p w14:paraId="6B297C5A" w14:textId="77777777" w:rsidR="00912BDF" w:rsidRPr="00C45350" w:rsidRDefault="00912BDF" w:rsidP="00912BDF">
      <w:pPr>
        <w:autoSpaceDE w:val="0"/>
        <w:autoSpaceDN w:val="0"/>
        <w:adjustRightInd w:val="0"/>
        <w:rPr>
          <w:highlight w:val="lightGray"/>
        </w:rPr>
      </w:pPr>
      <w:r w:rsidRPr="00C45350">
        <w:rPr>
          <w:highlight w:val="lightGray"/>
        </w:rPr>
        <w:t>Atacand 16 mg tabletės</w:t>
      </w:r>
    </w:p>
    <w:p w14:paraId="319487B3" w14:textId="77777777" w:rsidR="00912BDF" w:rsidRPr="00A913BF" w:rsidRDefault="00912BDF" w:rsidP="00912BDF">
      <w:pPr>
        <w:autoSpaceDE w:val="0"/>
        <w:autoSpaceDN w:val="0"/>
        <w:adjustRightInd w:val="0"/>
        <w:rPr>
          <w:szCs w:val="22"/>
          <w:lang w:eastAsia="lt-LT"/>
        </w:rPr>
      </w:pPr>
      <w:r w:rsidRPr="00C45350">
        <w:rPr>
          <w:highlight w:val="lightGray"/>
        </w:rPr>
        <w:t>Atacand 32 mg tabletės</w:t>
      </w:r>
    </w:p>
    <w:p w14:paraId="2A26B35F" w14:textId="77777777" w:rsidR="00912BDF" w:rsidRPr="00A913BF" w:rsidRDefault="00912BDF" w:rsidP="00912BDF">
      <w:pPr>
        <w:autoSpaceDE w:val="0"/>
        <w:autoSpaceDN w:val="0"/>
        <w:adjustRightInd w:val="0"/>
        <w:rPr>
          <w:szCs w:val="22"/>
          <w:lang w:eastAsia="lt-LT"/>
        </w:rPr>
      </w:pPr>
    </w:p>
    <w:p w14:paraId="29BC1915" w14:textId="77777777" w:rsidR="00912BDF" w:rsidRPr="00A913BF" w:rsidRDefault="00912BDF" w:rsidP="00912BDF">
      <w:pPr>
        <w:rPr>
          <w:szCs w:val="22"/>
        </w:rPr>
      </w:pPr>
      <w:r w:rsidRPr="00A913BF">
        <w:rPr>
          <w:szCs w:val="22"/>
          <w:lang w:eastAsia="lt-LT"/>
        </w:rPr>
        <w:t>Kandesartano cileksetilas</w:t>
      </w:r>
    </w:p>
    <w:p w14:paraId="301AFEBD" w14:textId="77777777" w:rsidR="00912BDF" w:rsidRPr="00A913BF" w:rsidRDefault="00912BDF" w:rsidP="00912BDF">
      <w:pPr>
        <w:rPr>
          <w:szCs w:val="22"/>
        </w:rPr>
      </w:pPr>
    </w:p>
    <w:p w14:paraId="16AB76C6" w14:textId="77777777" w:rsidR="00912BDF" w:rsidRPr="00A913BF" w:rsidRDefault="00912BDF" w:rsidP="00912BDF">
      <w:pPr>
        <w:rPr>
          <w:szCs w:val="22"/>
        </w:rPr>
      </w:pPr>
    </w:p>
    <w:p w14:paraId="4AF842CD"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67" w:hanging="567"/>
        <w:outlineLvl w:val="0"/>
        <w:rPr>
          <w:b/>
          <w:szCs w:val="22"/>
        </w:rPr>
      </w:pPr>
      <w:r w:rsidRPr="00A913BF">
        <w:rPr>
          <w:b/>
          <w:szCs w:val="22"/>
        </w:rPr>
        <w:t>2.</w:t>
      </w:r>
      <w:r w:rsidRPr="00A913BF">
        <w:rPr>
          <w:b/>
          <w:szCs w:val="22"/>
        </w:rPr>
        <w:tab/>
        <w:t>VEIKLIOJI (-IOS) MEDŽIAGA (-OS) IR JOS (-Ų) KIEKIS (-IAI)</w:t>
      </w:r>
    </w:p>
    <w:p w14:paraId="31278725" w14:textId="77777777" w:rsidR="00912BDF" w:rsidRPr="00A913BF" w:rsidRDefault="00912BDF" w:rsidP="00912BDF">
      <w:pPr>
        <w:rPr>
          <w:szCs w:val="22"/>
        </w:rPr>
      </w:pPr>
    </w:p>
    <w:p w14:paraId="547853A8" w14:textId="77777777" w:rsidR="00912BDF" w:rsidRPr="00A913BF" w:rsidRDefault="00912BDF" w:rsidP="00912BDF">
      <w:pPr>
        <w:autoSpaceDE w:val="0"/>
        <w:autoSpaceDN w:val="0"/>
        <w:adjustRightInd w:val="0"/>
        <w:rPr>
          <w:szCs w:val="22"/>
          <w:lang w:eastAsia="lt-LT"/>
        </w:rPr>
      </w:pPr>
      <w:r w:rsidRPr="00A913BF">
        <w:rPr>
          <w:szCs w:val="22"/>
          <w:lang w:eastAsia="lt-LT"/>
        </w:rPr>
        <w:t>Kiekvienoje tabletėje yra 4 mg kandesartano cileksetilo.</w:t>
      </w:r>
    </w:p>
    <w:p w14:paraId="272E3D3B" w14:textId="77777777" w:rsidR="00912BDF" w:rsidRPr="00C45350" w:rsidRDefault="00912BDF" w:rsidP="00912BDF">
      <w:pPr>
        <w:autoSpaceDE w:val="0"/>
        <w:autoSpaceDN w:val="0"/>
        <w:adjustRightInd w:val="0"/>
        <w:rPr>
          <w:highlight w:val="lightGray"/>
        </w:rPr>
      </w:pPr>
      <w:r w:rsidRPr="00C45350">
        <w:rPr>
          <w:highlight w:val="lightGray"/>
        </w:rPr>
        <w:t>Kiekvienoje tabletėje yra 8 mg kandesartano cileksetilo.</w:t>
      </w:r>
    </w:p>
    <w:p w14:paraId="33EFDB2C" w14:textId="77777777" w:rsidR="00912BDF" w:rsidRPr="00C45350" w:rsidRDefault="00912BDF" w:rsidP="00912BDF">
      <w:pPr>
        <w:autoSpaceDE w:val="0"/>
        <w:autoSpaceDN w:val="0"/>
        <w:adjustRightInd w:val="0"/>
        <w:rPr>
          <w:highlight w:val="lightGray"/>
        </w:rPr>
      </w:pPr>
      <w:r w:rsidRPr="00C45350">
        <w:rPr>
          <w:highlight w:val="lightGray"/>
        </w:rPr>
        <w:t>Kiekvienoje tabletėje yra 16 mg kandesartano cileksetilo.</w:t>
      </w:r>
    </w:p>
    <w:p w14:paraId="13B7FF8D" w14:textId="77777777" w:rsidR="00912BDF" w:rsidRPr="00A913BF" w:rsidRDefault="00912BDF" w:rsidP="00912BDF">
      <w:pPr>
        <w:rPr>
          <w:szCs w:val="22"/>
        </w:rPr>
      </w:pPr>
      <w:r w:rsidRPr="00C45350">
        <w:rPr>
          <w:highlight w:val="lightGray"/>
        </w:rPr>
        <w:t>Kiekvienoje tabletėje yra 32 mg kandesartano cileksetilo.</w:t>
      </w:r>
    </w:p>
    <w:p w14:paraId="14D39287" w14:textId="77777777" w:rsidR="00912BDF" w:rsidRPr="00A913BF" w:rsidRDefault="00912BDF" w:rsidP="00912BDF">
      <w:pPr>
        <w:rPr>
          <w:szCs w:val="22"/>
        </w:rPr>
      </w:pPr>
    </w:p>
    <w:p w14:paraId="13A8F167" w14:textId="77777777" w:rsidR="00912BDF" w:rsidRPr="00A913BF" w:rsidRDefault="00912BDF" w:rsidP="00912BDF">
      <w:pPr>
        <w:rPr>
          <w:szCs w:val="22"/>
        </w:rPr>
      </w:pPr>
    </w:p>
    <w:p w14:paraId="5341C446" w14:textId="77777777" w:rsidR="00912BDF" w:rsidRPr="00C45350" w:rsidRDefault="00912BDF" w:rsidP="00912BDF">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A913BF">
        <w:rPr>
          <w:b/>
          <w:szCs w:val="22"/>
        </w:rPr>
        <w:t>3.</w:t>
      </w:r>
      <w:r w:rsidRPr="00A913BF">
        <w:rPr>
          <w:b/>
          <w:szCs w:val="22"/>
        </w:rPr>
        <w:tab/>
        <w:t>PAGALBINIŲ MEDŽIAGŲ SĄRAŠAS</w:t>
      </w:r>
    </w:p>
    <w:p w14:paraId="1D1392B0" w14:textId="77777777" w:rsidR="00912BDF" w:rsidRPr="00A913BF" w:rsidRDefault="00912BDF" w:rsidP="00912BDF">
      <w:pPr>
        <w:rPr>
          <w:szCs w:val="22"/>
        </w:rPr>
      </w:pPr>
    </w:p>
    <w:p w14:paraId="12EF3AF0" w14:textId="77777777" w:rsidR="00912BDF" w:rsidRPr="00A913BF" w:rsidRDefault="00912BDF" w:rsidP="00912BDF">
      <w:pPr>
        <w:rPr>
          <w:szCs w:val="22"/>
        </w:rPr>
      </w:pPr>
      <w:r w:rsidRPr="00A913BF">
        <w:rPr>
          <w:szCs w:val="22"/>
        </w:rPr>
        <w:t>Sudėtyje yra laktozės. Daugiau informacijos pateikiama pakuotės lapelyje.</w:t>
      </w:r>
    </w:p>
    <w:p w14:paraId="7EB4CA39" w14:textId="77777777" w:rsidR="00912BDF" w:rsidRPr="00A913BF" w:rsidRDefault="00912BDF" w:rsidP="00912BDF">
      <w:pPr>
        <w:rPr>
          <w:szCs w:val="22"/>
        </w:rPr>
      </w:pPr>
    </w:p>
    <w:p w14:paraId="78BEE005" w14:textId="77777777" w:rsidR="00912BDF" w:rsidRPr="00A913BF" w:rsidRDefault="00912BDF" w:rsidP="00912BDF">
      <w:pPr>
        <w:rPr>
          <w:szCs w:val="22"/>
        </w:rPr>
      </w:pPr>
    </w:p>
    <w:p w14:paraId="4DA50EA3"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67" w:hanging="567"/>
        <w:outlineLvl w:val="0"/>
        <w:rPr>
          <w:szCs w:val="22"/>
        </w:rPr>
      </w:pPr>
      <w:r w:rsidRPr="00A913BF">
        <w:rPr>
          <w:b/>
          <w:szCs w:val="22"/>
        </w:rPr>
        <w:t>4.</w:t>
      </w:r>
      <w:r w:rsidRPr="00A913BF">
        <w:rPr>
          <w:b/>
          <w:szCs w:val="22"/>
        </w:rPr>
        <w:tab/>
        <w:t>FARMACINĖ FORMA IR KIEKIS PAKUOTĖJE</w:t>
      </w:r>
    </w:p>
    <w:p w14:paraId="502F4F91" w14:textId="77777777" w:rsidR="00912BDF" w:rsidRPr="00A913BF" w:rsidRDefault="00912BDF" w:rsidP="00912BDF">
      <w:pPr>
        <w:rPr>
          <w:szCs w:val="22"/>
        </w:rPr>
      </w:pPr>
    </w:p>
    <w:p w14:paraId="420C4B09" w14:textId="77777777" w:rsidR="00912BDF" w:rsidRPr="00A913BF" w:rsidRDefault="00912BDF" w:rsidP="00912BDF">
      <w:pPr>
        <w:rPr>
          <w:szCs w:val="22"/>
        </w:rPr>
      </w:pPr>
      <w:r w:rsidRPr="00A913BF">
        <w:rPr>
          <w:szCs w:val="22"/>
        </w:rPr>
        <w:t>Buteliukas:</w:t>
      </w:r>
    </w:p>
    <w:p w14:paraId="6CA77E8B" w14:textId="77777777" w:rsidR="00912BDF" w:rsidRPr="00A913BF" w:rsidRDefault="00912BDF" w:rsidP="00912BDF">
      <w:pPr>
        <w:rPr>
          <w:szCs w:val="22"/>
        </w:rPr>
      </w:pPr>
      <w:r w:rsidRPr="00A913BF">
        <w:rPr>
          <w:szCs w:val="22"/>
        </w:rPr>
        <w:t xml:space="preserve">100 tablečių </w:t>
      </w:r>
    </w:p>
    <w:p w14:paraId="70AE985F" w14:textId="77777777" w:rsidR="00912BDF" w:rsidRPr="00A913BF" w:rsidRDefault="00912BDF" w:rsidP="00912BDF">
      <w:pPr>
        <w:rPr>
          <w:szCs w:val="22"/>
        </w:rPr>
      </w:pPr>
      <w:r w:rsidRPr="00C45350">
        <w:rPr>
          <w:highlight w:val="lightGray"/>
        </w:rPr>
        <w:t>250 tablečių</w:t>
      </w:r>
    </w:p>
    <w:p w14:paraId="75187AB5" w14:textId="77777777" w:rsidR="00912BDF" w:rsidRPr="00A913BF" w:rsidRDefault="00912BDF" w:rsidP="00912BDF">
      <w:pPr>
        <w:rPr>
          <w:szCs w:val="22"/>
        </w:rPr>
      </w:pPr>
    </w:p>
    <w:p w14:paraId="472857E2" w14:textId="77777777" w:rsidR="00912BDF" w:rsidRPr="00A913BF" w:rsidRDefault="00912BDF" w:rsidP="00912BDF">
      <w:pPr>
        <w:rPr>
          <w:szCs w:val="22"/>
        </w:rPr>
      </w:pPr>
    </w:p>
    <w:p w14:paraId="71C042C1" w14:textId="77777777" w:rsidR="00912BDF" w:rsidRPr="00C45350" w:rsidRDefault="00912BDF" w:rsidP="00912BDF">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A913BF">
        <w:rPr>
          <w:b/>
          <w:szCs w:val="22"/>
        </w:rPr>
        <w:t>5.</w:t>
      </w:r>
      <w:r w:rsidRPr="00A913BF">
        <w:rPr>
          <w:b/>
          <w:szCs w:val="22"/>
        </w:rPr>
        <w:tab/>
        <w:t>VARTOJIMO METODAS IR BŪDAS (-AI)</w:t>
      </w:r>
    </w:p>
    <w:p w14:paraId="77CDD527" w14:textId="77777777" w:rsidR="00912BDF" w:rsidRPr="00A913BF" w:rsidRDefault="00912BDF" w:rsidP="00912BDF">
      <w:pPr>
        <w:rPr>
          <w:i/>
          <w:szCs w:val="22"/>
        </w:rPr>
      </w:pPr>
    </w:p>
    <w:p w14:paraId="2E7740DD" w14:textId="77777777" w:rsidR="00912BDF" w:rsidRPr="00A913BF" w:rsidRDefault="00912BDF" w:rsidP="00912BDF">
      <w:pPr>
        <w:rPr>
          <w:szCs w:val="22"/>
        </w:rPr>
      </w:pPr>
      <w:r w:rsidRPr="00A913BF">
        <w:rPr>
          <w:szCs w:val="22"/>
        </w:rPr>
        <w:t>Prieš vartojimą perskaitykite pakuotės lapelį.</w:t>
      </w:r>
    </w:p>
    <w:p w14:paraId="30003654" w14:textId="77777777" w:rsidR="00912BDF" w:rsidRPr="00A913BF" w:rsidRDefault="00912BDF" w:rsidP="00912BDF">
      <w:pPr>
        <w:rPr>
          <w:szCs w:val="22"/>
        </w:rPr>
      </w:pPr>
    </w:p>
    <w:p w14:paraId="1330F867" w14:textId="77777777" w:rsidR="00912BDF" w:rsidRPr="00A913BF" w:rsidRDefault="00912BDF" w:rsidP="00912BDF">
      <w:pPr>
        <w:rPr>
          <w:szCs w:val="22"/>
        </w:rPr>
      </w:pPr>
      <w:r w:rsidRPr="00A913BF">
        <w:rPr>
          <w:szCs w:val="22"/>
        </w:rPr>
        <w:t>Vartoti per burną</w:t>
      </w:r>
    </w:p>
    <w:p w14:paraId="58B6509F" w14:textId="77777777" w:rsidR="00912BDF" w:rsidRPr="00A913BF" w:rsidRDefault="00912BDF" w:rsidP="00912BDF">
      <w:pPr>
        <w:rPr>
          <w:szCs w:val="22"/>
        </w:rPr>
      </w:pPr>
    </w:p>
    <w:p w14:paraId="653FCF5B" w14:textId="77777777" w:rsidR="00912BDF" w:rsidRPr="00A913BF" w:rsidRDefault="00912BDF" w:rsidP="00912BDF">
      <w:pPr>
        <w:rPr>
          <w:szCs w:val="22"/>
        </w:rPr>
      </w:pPr>
    </w:p>
    <w:p w14:paraId="5C02CFF7" w14:textId="77777777" w:rsidR="00912BDF" w:rsidRPr="00A913BF" w:rsidRDefault="00912BDF" w:rsidP="00912BDF">
      <w:pPr>
        <w:pBdr>
          <w:top w:val="single" w:sz="4" w:space="0" w:color="auto"/>
          <w:left w:val="single" w:sz="4" w:space="4" w:color="auto"/>
          <w:bottom w:val="single" w:sz="4" w:space="1" w:color="auto"/>
          <w:right w:val="single" w:sz="4" w:space="4" w:color="auto"/>
        </w:pBdr>
        <w:ind w:left="567" w:hanging="567"/>
        <w:outlineLvl w:val="0"/>
        <w:rPr>
          <w:szCs w:val="22"/>
        </w:rPr>
      </w:pPr>
      <w:r w:rsidRPr="00A913BF">
        <w:rPr>
          <w:b/>
          <w:szCs w:val="22"/>
        </w:rPr>
        <w:t>6.</w:t>
      </w:r>
      <w:r w:rsidRPr="00A913BF">
        <w:rPr>
          <w:b/>
          <w:szCs w:val="22"/>
        </w:rPr>
        <w:tab/>
      </w:r>
      <w:r w:rsidRPr="00A913BF">
        <w:rPr>
          <w:b/>
          <w:bCs/>
          <w:szCs w:val="22"/>
        </w:rPr>
        <w:t>SPECIALUS ĮSPĖJIMAS, KAD VAISTINĮ PREPARATĄ BŪTINA LAIKYTI VAIKAMS NEPASTEBIMOJE IR NEPASIEKIAMOJE VIETOJE</w:t>
      </w:r>
    </w:p>
    <w:p w14:paraId="72F124DF" w14:textId="77777777" w:rsidR="00912BDF" w:rsidRPr="00A913BF" w:rsidRDefault="00912BDF" w:rsidP="00912BDF">
      <w:pPr>
        <w:rPr>
          <w:szCs w:val="22"/>
        </w:rPr>
      </w:pPr>
    </w:p>
    <w:p w14:paraId="28207FAA" w14:textId="77777777" w:rsidR="00912BDF" w:rsidRPr="00912BDF" w:rsidRDefault="00912BDF" w:rsidP="00912BDF">
      <w:pPr>
        <w:rPr>
          <w:rStyle w:val="Hipersaitas"/>
          <w:color w:val="auto"/>
          <w:szCs w:val="22"/>
          <w:u w:val="none"/>
        </w:rPr>
      </w:pPr>
      <w:r w:rsidRPr="00912BDF">
        <w:rPr>
          <w:rStyle w:val="Hipersaitas"/>
          <w:color w:val="auto"/>
          <w:szCs w:val="22"/>
          <w:u w:val="none"/>
        </w:rPr>
        <w:t>Laikyti vaikams nepastebimoje ir nepasiekiamoje vietoje.</w:t>
      </w:r>
    </w:p>
    <w:p w14:paraId="01CE71F5" w14:textId="77777777" w:rsidR="00912BDF" w:rsidRPr="00A913BF" w:rsidRDefault="00912BDF" w:rsidP="00912BDF">
      <w:pPr>
        <w:rPr>
          <w:szCs w:val="22"/>
        </w:rPr>
      </w:pPr>
    </w:p>
    <w:p w14:paraId="67F66545" w14:textId="77777777" w:rsidR="00912BDF" w:rsidRPr="00A913BF" w:rsidRDefault="00912BDF" w:rsidP="00912BDF">
      <w:pPr>
        <w:rPr>
          <w:szCs w:val="22"/>
        </w:rPr>
      </w:pPr>
    </w:p>
    <w:p w14:paraId="7297FAC8" w14:textId="77777777" w:rsidR="00912BDF" w:rsidRPr="00C45350" w:rsidRDefault="00912BDF" w:rsidP="00912BDF">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A913BF">
        <w:rPr>
          <w:b/>
          <w:szCs w:val="22"/>
        </w:rPr>
        <w:t>7.</w:t>
      </w:r>
      <w:r w:rsidRPr="00A913BF">
        <w:rPr>
          <w:b/>
          <w:szCs w:val="22"/>
        </w:rPr>
        <w:tab/>
      </w:r>
      <w:r w:rsidRPr="00A913BF">
        <w:rPr>
          <w:b/>
          <w:bCs/>
          <w:szCs w:val="22"/>
        </w:rPr>
        <w:t>KITAS (-I) SPECIALUS (-ŪS) ĮSPĖJIMAS (-AI) (JEI REIKIA)</w:t>
      </w:r>
    </w:p>
    <w:p w14:paraId="4B7CBF05" w14:textId="77777777" w:rsidR="00912BDF" w:rsidRPr="00A913BF" w:rsidRDefault="00912BDF" w:rsidP="00912BDF">
      <w:pPr>
        <w:rPr>
          <w:szCs w:val="22"/>
        </w:rPr>
      </w:pPr>
    </w:p>
    <w:p w14:paraId="0BB9001B" w14:textId="77777777" w:rsidR="00912BDF" w:rsidRPr="00A913BF" w:rsidRDefault="00912BDF" w:rsidP="00912BDF">
      <w:pPr>
        <w:rPr>
          <w:szCs w:val="22"/>
        </w:rPr>
      </w:pPr>
    </w:p>
    <w:p w14:paraId="5345C4C1" w14:textId="77777777" w:rsidR="00912BDF" w:rsidRPr="00C45350" w:rsidRDefault="00912BDF" w:rsidP="00912BDF">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A913BF">
        <w:rPr>
          <w:b/>
          <w:szCs w:val="22"/>
        </w:rPr>
        <w:t>8.</w:t>
      </w:r>
      <w:r w:rsidRPr="00A913BF">
        <w:rPr>
          <w:b/>
          <w:szCs w:val="22"/>
        </w:rPr>
        <w:tab/>
      </w:r>
      <w:r w:rsidRPr="00A913BF">
        <w:rPr>
          <w:b/>
          <w:bCs/>
          <w:szCs w:val="22"/>
        </w:rPr>
        <w:t>TINKAMUMO LAIKAS</w:t>
      </w:r>
    </w:p>
    <w:p w14:paraId="3699FBC0" w14:textId="77777777" w:rsidR="00912BDF" w:rsidRPr="00A913BF" w:rsidRDefault="00912BDF" w:rsidP="00912BDF">
      <w:pPr>
        <w:rPr>
          <w:szCs w:val="22"/>
        </w:rPr>
      </w:pPr>
    </w:p>
    <w:p w14:paraId="4C5BD435" w14:textId="77777777" w:rsidR="00912BDF" w:rsidRPr="00A913BF" w:rsidRDefault="00912BDF" w:rsidP="00912BDF">
      <w:pPr>
        <w:rPr>
          <w:szCs w:val="22"/>
        </w:rPr>
      </w:pPr>
      <w:r w:rsidRPr="00A913BF">
        <w:rPr>
          <w:szCs w:val="22"/>
        </w:rPr>
        <w:t xml:space="preserve">Tinka iki </w:t>
      </w:r>
      <w:r w:rsidRPr="00A913BF">
        <w:rPr>
          <w:szCs w:val="22"/>
          <w:lang w:val="fi-FI"/>
        </w:rPr>
        <w:t>{MMMM-mm}</w:t>
      </w:r>
    </w:p>
    <w:p w14:paraId="79E8DED3" w14:textId="77777777" w:rsidR="00912BDF" w:rsidRPr="00A913BF" w:rsidRDefault="00912BDF" w:rsidP="00912BDF">
      <w:pPr>
        <w:rPr>
          <w:szCs w:val="22"/>
        </w:rPr>
      </w:pPr>
    </w:p>
    <w:p w14:paraId="75B9423B" w14:textId="77777777" w:rsidR="00912BDF" w:rsidRPr="00A913BF" w:rsidRDefault="00912BDF" w:rsidP="00912BDF">
      <w:pPr>
        <w:rPr>
          <w:szCs w:val="22"/>
        </w:rPr>
      </w:pPr>
    </w:p>
    <w:p w14:paraId="5F2EBBC1"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67" w:hanging="567"/>
        <w:outlineLvl w:val="0"/>
        <w:rPr>
          <w:szCs w:val="22"/>
        </w:rPr>
      </w:pPr>
      <w:r w:rsidRPr="00A913BF">
        <w:rPr>
          <w:b/>
          <w:szCs w:val="22"/>
        </w:rPr>
        <w:lastRenderedPageBreak/>
        <w:t>9.</w:t>
      </w:r>
      <w:r w:rsidRPr="00A913BF">
        <w:rPr>
          <w:b/>
          <w:szCs w:val="22"/>
        </w:rPr>
        <w:tab/>
      </w:r>
      <w:r w:rsidRPr="00A913BF">
        <w:rPr>
          <w:b/>
          <w:caps/>
          <w:szCs w:val="22"/>
        </w:rPr>
        <w:t>SPECIALIOS laikymo sąlygos</w:t>
      </w:r>
    </w:p>
    <w:p w14:paraId="1EE5D1BA" w14:textId="77777777" w:rsidR="00912BDF" w:rsidRPr="00A913BF" w:rsidRDefault="00912BDF" w:rsidP="00912BDF">
      <w:pPr>
        <w:ind w:left="567" w:hanging="567"/>
        <w:rPr>
          <w:szCs w:val="22"/>
        </w:rPr>
      </w:pPr>
    </w:p>
    <w:p w14:paraId="71AB94A6" w14:textId="77777777" w:rsidR="00912BDF" w:rsidRPr="00A913BF" w:rsidRDefault="00912BDF" w:rsidP="00912BDF">
      <w:pPr>
        <w:ind w:left="567" w:hanging="567"/>
        <w:rPr>
          <w:szCs w:val="22"/>
        </w:rPr>
      </w:pPr>
    </w:p>
    <w:p w14:paraId="5E729A77"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67" w:hanging="567"/>
        <w:outlineLvl w:val="0"/>
        <w:rPr>
          <w:b/>
          <w:szCs w:val="22"/>
        </w:rPr>
      </w:pPr>
      <w:r w:rsidRPr="00A913BF">
        <w:rPr>
          <w:b/>
          <w:szCs w:val="22"/>
        </w:rPr>
        <w:t>10.</w:t>
      </w:r>
      <w:r w:rsidRPr="00A913BF">
        <w:rPr>
          <w:b/>
          <w:szCs w:val="22"/>
        </w:rPr>
        <w:tab/>
      </w:r>
      <w:r w:rsidRPr="00A913BF">
        <w:rPr>
          <w:b/>
          <w:caps/>
          <w:szCs w:val="22"/>
        </w:rPr>
        <w:t xml:space="preserve">specialios atsargumo priemonės </w:t>
      </w:r>
      <w:r w:rsidRPr="00A913BF">
        <w:rPr>
          <w:b/>
          <w:bCs/>
          <w:szCs w:val="22"/>
        </w:rPr>
        <w:t xml:space="preserve">DĖL NESUVARTOTO VAISTINIO PREPARATO AR JO </w:t>
      </w:r>
      <w:r w:rsidRPr="00A913BF">
        <w:rPr>
          <w:b/>
          <w:szCs w:val="22"/>
        </w:rPr>
        <w:t>ATLIEKŲ TVARKYMO (JEI REIKIA)</w:t>
      </w:r>
    </w:p>
    <w:p w14:paraId="6D9CB24D" w14:textId="77777777" w:rsidR="00912BDF" w:rsidRPr="00A913BF" w:rsidRDefault="00912BDF" w:rsidP="00912BDF">
      <w:pPr>
        <w:rPr>
          <w:szCs w:val="22"/>
        </w:rPr>
      </w:pPr>
    </w:p>
    <w:p w14:paraId="2F712378" w14:textId="77777777" w:rsidR="00912BDF" w:rsidRPr="00A913BF" w:rsidRDefault="00912BDF" w:rsidP="00912BDF">
      <w:pPr>
        <w:rPr>
          <w:szCs w:val="22"/>
        </w:rPr>
      </w:pPr>
    </w:p>
    <w:p w14:paraId="226A70DC"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40" w:hanging="540"/>
        <w:outlineLvl w:val="0"/>
        <w:rPr>
          <w:b/>
          <w:szCs w:val="22"/>
        </w:rPr>
      </w:pPr>
      <w:r w:rsidRPr="00A913BF">
        <w:rPr>
          <w:b/>
          <w:szCs w:val="22"/>
        </w:rPr>
        <w:t>11.</w:t>
      </w:r>
      <w:r w:rsidRPr="00A913BF">
        <w:rPr>
          <w:b/>
          <w:szCs w:val="22"/>
        </w:rPr>
        <w:tab/>
        <w:t>R</w:t>
      </w:r>
      <w:r>
        <w:rPr>
          <w:b/>
          <w:szCs w:val="22"/>
        </w:rPr>
        <w:t>EGISTRUOTOJO</w:t>
      </w:r>
      <w:r w:rsidRPr="00A913BF">
        <w:rPr>
          <w:b/>
          <w:caps/>
          <w:szCs w:val="22"/>
        </w:rPr>
        <w:t xml:space="preserve"> pavadinimas ir adresas</w:t>
      </w:r>
    </w:p>
    <w:p w14:paraId="68787F96" w14:textId="77777777" w:rsidR="00912BDF" w:rsidRPr="00A913BF" w:rsidRDefault="00912BDF" w:rsidP="00912BDF">
      <w:pPr>
        <w:rPr>
          <w:szCs w:val="22"/>
        </w:rPr>
      </w:pPr>
    </w:p>
    <w:p w14:paraId="2A3C1D12" w14:textId="77777777" w:rsidR="00150E2A" w:rsidRDefault="00150E2A" w:rsidP="00150E2A">
      <w:pPr>
        <w:rPr>
          <w:szCs w:val="22"/>
        </w:rPr>
      </w:pPr>
      <w:r w:rsidRPr="003422CA">
        <w:rPr>
          <w:szCs w:val="22"/>
        </w:rPr>
        <w:t>CHEPLAPHARM Arzneimittel GmbH</w:t>
      </w:r>
      <w:r>
        <w:rPr>
          <w:szCs w:val="22"/>
        </w:rPr>
        <w:t xml:space="preserve"> </w:t>
      </w:r>
    </w:p>
    <w:p w14:paraId="5F340A5D" w14:textId="77777777" w:rsidR="00150E2A" w:rsidRDefault="00150E2A" w:rsidP="00150E2A">
      <w:pPr>
        <w:rPr>
          <w:szCs w:val="22"/>
        </w:rPr>
      </w:pPr>
      <w:r w:rsidRPr="003422CA">
        <w:rPr>
          <w:szCs w:val="22"/>
        </w:rPr>
        <w:t>Ziegelhof 24</w:t>
      </w:r>
      <w:r>
        <w:rPr>
          <w:szCs w:val="22"/>
        </w:rPr>
        <w:t xml:space="preserve"> </w:t>
      </w:r>
    </w:p>
    <w:p w14:paraId="6A7E6EEB" w14:textId="77777777" w:rsidR="00150E2A" w:rsidRDefault="00150E2A" w:rsidP="00150E2A">
      <w:pPr>
        <w:rPr>
          <w:szCs w:val="22"/>
        </w:rPr>
      </w:pPr>
      <w:r w:rsidRPr="003422CA">
        <w:rPr>
          <w:szCs w:val="22"/>
        </w:rPr>
        <w:t>17489 Greifswald</w:t>
      </w:r>
      <w:r>
        <w:rPr>
          <w:szCs w:val="22"/>
        </w:rPr>
        <w:t xml:space="preserve"> </w:t>
      </w:r>
    </w:p>
    <w:p w14:paraId="0F72251C" w14:textId="77777777" w:rsidR="00150E2A" w:rsidRDefault="00150E2A" w:rsidP="00150E2A">
      <w:pPr>
        <w:rPr>
          <w:szCs w:val="22"/>
        </w:rPr>
      </w:pPr>
      <w:r w:rsidRPr="003422CA">
        <w:rPr>
          <w:szCs w:val="22"/>
        </w:rPr>
        <w:t>Vokietija</w:t>
      </w:r>
    </w:p>
    <w:p w14:paraId="08934E46" w14:textId="77777777" w:rsidR="00912BDF" w:rsidRPr="00A913BF" w:rsidRDefault="00912BDF" w:rsidP="00912BDF">
      <w:pPr>
        <w:rPr>
          <w:szCs w:val="22"/>
        </w:rPr>
      </w:pPr>
    </w:p>
    <w:p w14:paraId="162E961E" w14:textId="77777777" w:rsidR="00912BDF" w:rsidRPr="00A913BF" w:rsidRDefault="00912BDF" w:rsidP="00912BDF">
      <w:pPr>
        <w:rPr>
          <w:szCs w:val="22"/>
        </w:rPr>
      </w:pPr>
    </w:p>
    <w:p w14:paraId="1441C9B4"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40" w:hanging="540"/>
        <w:outlineLvl w:val="0"/>
        <w:rPr>
          <w:szCs w:val="22"/>
        </w:rPr>
      </w:pPr>
      <w:r w:rsidRPr="00A913BF">
        <w:rPr>
          <w:b/>
          <w:szCs w:val="22"/>
        </w:rPr>
        <w:t>12.</w:t>
      </w:r>
      <w:r w:rsidRPr="00A913BF">
        <w:rPr>
          <w:b/>
          <w:szCs w:val="22"/>
        </w:rPr>
        <w:tab/>
        <w:t>R</w:t>
      </w:r>
      <w:r>
        <w:rPr>
          <w:b/>
          <w:szCs w:val="22"/>
        </w:rPr>
        <w:t>EGISTRACIJOS</w:t>
      </w:r>
      <w:r w:rsidRPr="00A913BF">
        <w:rPr>
          <w:b/>
          <w:szCs w:val="22"/>
        </w:rPr>
        <w:t xml:space="preserve"> PAŽYMĖJIMO</w:t>
      </w:r>
      <w:r w:rsidRPr="00A913BF">
        <w:rPr>
          <w:b/>
          <w:caps/>
          <w:szCs w:val="22"/>
        </w:rPr>
        <w:t xml:space="preserve"> numeris</w:t>
      </w:r>
      <w:r w:rsidRPr="00A913BF">
        <w:rPr>
          <w:b/>
          <w:szCs w:val="22"/>
        </w:rPr>
        <w:t xml:space="preserve"> (-IAI)</w:t>
      </w:r>
    </w:p>
    <w:p w14:paraId="3AE3B8D6" w14:textId="77777777" w:rsidR="00912BDF" w:rsidRPr="00A913BF" w:rsidRDefault="00912BDF" w:rsidP="00912BDF">
      <w:pPr>
        <w:rPr>
          <w:szCs w:val="22"/>
        </w:rPr>
      </w:pPr>
    </w:p>
    <w:p w14:paraId="4D36B74B" w14:textId="77777777" w:rsidR="00912BDF" w:rsidRPr="00A913BF" w:rsidRDefault="00912BDF" w:rsidP="00912BDF">
      <w:pPr>
        <w:autoSpaceDE w:val="0"/>
        <w:autoSpaceDN w:val="0"/>
        <w:adjustRightInd w:val="0"/>
        <w:rPr>
          <w:szCs w:val="22"/>
          <w:lang w:eastAsia="lt-LT"/>
        </w:rPr>
      </w:pPr>
      <w:r w:rsidRPr="00C45350">
        <w:rPr>
          <w:highlight w:val="lightGray"/>
        </w:rPr>
        <w:t>Atacand 4 mg tabletės</w:t>
      </w:r>
      <w:r w:rsidRPr="00A913BF">
        <w:rPr>
          <w:szCs w:val="22"/>
          <w:lang w:eastAsia="lt-LT"/>
        </w:rPr>
        <w:t xml:space="preserve">  </w:t>
      </w:r>
    </w:p>
    <w:p w14:paraId="47229203" w14:textId="77777777" w:rsidR="00912BDF" w:rsidRPr="00C45350" w:rsidRDefault="00912BDF" w:rsidP="00912BDF">
      <w:pPr>
        <w:autoSpaceDE w:val="0"/>
        <w:autoSpaceDN w:val="0"/>
        <w:adjustRightInd w:val="0"/>
        <w:rPr>
          <w:highlight w:val="lightGray"/>
        </w:rPr>
      </w:pPr>
      <w:r w:rsidRPr="00C45350">
        <w:rPr>
          <w:highlight w:val="lightGray"/>
        </w:rPr>
        <w:t>LT/1/99/0689/035 - buteliukas, N100</w:t>
      </w:r>
    </w:p>
    <w:p w14:paraId="144847CC" w14:textId="77777777" w:rsidR="00912BDF" w:rsidRPr="00C45350" w:rsidRDefault="00912BDF" w:rsidP="00912BDF">
      <w:pPr>
        <w:autoSpaceDE w:val="0"/>
        <w:autoSpaceDN w:val="0"/>
        <w:adjustRightInd w:val="0"/>
        <w:rPr>
          <w:highlight w:val="lightGray"/>
        </w:rPr>
      </w:pPr>
      <w:r w:rsidRPr="00C45350">
        <w:rPr>
          <w:highlight w:val="lightGray"/>
        </w:rPr>
        <w:t>LT/1/99/0689/036 - buteliukas, N250</w:t>
      </w:r>
    </w:p>
    <w:p w14:paraId="33F71442" w14:textId="77777777" w:rsidR="00912BDF" w:rsidRPr="00C45350" w:rsidRDefault="00912BDF" w:rsidP="00912BDF">
      <w:pPr>
        <w:autoSpaceDE w:val="0"/>
        <w:autoSpaceDN w:val="0"/>
        <w:adjustRightInd w:val="0"/>
        <w:rPr>
          <w:highlight w:val="lightGray"/>
        </w:rPr>
      </w:pPr>
    </w:p>
    <w:p w14:paraId="28D0F5D4" w14:textId="77777777" w:rsidR="00912BDF" w:rsidRPr="00C45350" w:rsidRDefault="00912BDF" w:rsidP="00912BDF">
      <w:pPr>
        <w:autoSpaceDE w:val="0"/>
        <w:autoSpaceDN w:val="0"/>
        <w:adjustRightInd w:val="0"/>
        <w:rPr>
          <w:highlight w:val="lightGray"/>
        </w:rPr>
      </w:pPr>
      <w:r w:rsidRPr="00C45350">
        <w:rPr>
          <w:highlight w:val="lightGray"/>
        </w:rPr>
        <w:t>Atacand 8 mg tabletės</w:t>
      </w:r>
    </w:p>
    <w:p w14:paraId="73739549" w14:textId="77777777" w:rsidR="00912BDF" w:rsidRPr="00C45350" w:rsidRDefault="00912BDF" w:rsidP="00912BDF">
      <w:pPr>
        <w:autoSpaceDE w:val="0"/>
        <w:autoSpaceDN w:val="0"/>
        <w:adjustRightInd w:val="0"/>
        <w:rPr>
          <w:highlight w:val="lightGray"/>
        </w:rPr>
      </w:pPr>
      <w:r w:rsidRPr="00C45350">
        <w:rPr>
          <w:highlight w:val="lightGray"/>
        </w:rPr>
        <w:t>LT/1/99/0689/047 - buteliukas, N100</w:t>
      </w:r>
    </w:p>
    <w:p w14:paraId="34331877" w14:textId="77777777" w:rsidR="00912BDF" w:rsidRPr="00C45350" w:rsidRDefault="00912BDF" w:rsidP="00912BDF">
      <w:pPr>
        <w:autoSpaceDE w:val="0"/>
        <w:autoSpaceDN w:val="0"/>
        <w:adjustRightInd w:val="0"/>
        <w:rPr>
          <w:highlight w:val="lightGray"/>
        </w:rPr>
      </w:pPr>
      <w:r w:rsidRPr="00C45350">
        <w:rPr>
          <w:highlight w:val="lightGray"/>
        </w:rPr>
        <w:t>LT/1/99/0689/048 - buteliukas, N250</w:t>
      </w:r>
    </w:p>
    <w:p w14:paraId="273E6C51" w14:textId="77777777" w:rsidR="00912BDF" w:rsidRPr="00C45350" w:rsidRDefault="00912BDF" w:rsidP="00912BDF">
      <w:pPr>
        <w:autoSpaceDE w:val="0"/>
        <w:autoSpaceDN w:val="0"/>
        <w:adjustRightInd w:val="0"/>
        <w:rPr>
          <w:highlight w:val="lightGray"/>
        </w:rPr>
      </w:pPr>
    </w:p>
    <w:p w14:paraId="20CE2629" w14:textId="77777777" w:rsidR="00912BDF" w:rsidRPr="00C45350" w:rsidRDefault="00912BDF" w:rsidP="00912BDF">
      <w:pPr>
        <w:autoSpaceDE w:val="0"/>
        <w:autoSpaceDN w:val="0"/>
        <w:adjustRightInd w:val="0"/>
        <w:rPr>
          <w:highlight w:val="lightGray"/>
        </w:rPr>
      </w:pPr>
      <w:r w:rsidRPr="00C45350">
        <w:rPr>
          <w:highlight w:val="lightGray"/>
        </w:rPr>
        <w:t>Atacand 16 mg tabletės</w:t>
      </w:r>
    </w:p>
    <w:p w14:paraId="1F9AB85B" w14:textId="77777777" w:rsidR="00912BDF" w:rsidRPr="00C45350" w:rsidRDefault="00912BDF" w:rsidP="00912BDF">
      <w:pPr>
        <w:autoSpaceDE w:val="0"/>
        <w:autoSpaceDN w:val="0"/>
        <w:adjustRightInd w:val="0"/>
        <w:rPr>
          <w:highlight w:val="lightGray"/>
        </w:rPr>
      </w:pPr>
      <w:r w:rsidRPr="00C45350">
        <w:rPr>
          <w:highlight w:val="lightGray"/>
        </w:rPr>
        <w:t>LT/1/99/0689/059 - buteliukas, N100</w:t>
      </w:r>
    </w:p>
    <w:p w14:paraId="0D9F3D26" w14:textId="77777777" w:rsidR="00912BDF" w:rsidRPr="00C45350" w:rsidRDefault="00912BDF" w:rsidP="00912BDF">
      <w:pPr>
        <w:autoSpaceDE w:val="0"/>
        <w:autoSpaceDN w:val="0"/>
        <w:adjustRightInd w:val="0"/>
        <w:rPr>
          <w:highlight w:val="lightGray"/>
        </w:rPr>
      </w:pPr>
      <w:r w:rsidRPr="00C45350">
        <w:rPr>
          <w:highlight w:val="lightGray"/>
        </w:rPr>
        <w:t>LT/1/99/0689/060 - buteliukas, N250</w:t>
      </w:r>
    </w:p>
    <w:p w14:paraId="30F99639" w14:textId="77777777" w:rsidR="00912BDF" w:rsidRPr="00C45350" w:rsidRDefault="00912BDF" w:rsidP="00912BDF">
      <w:pPr>
        <w:rPr>
          <w:highlight w:val="lightGray"/>
        </w:rPr>
      </w:pPr>
    </w:p>
    <w:p w14:paraId="7204E41E" w14:textId="77777777" w:rsidR="00912BDF" w:rsidRPr="00C45350" w:rsidRDefault="00912BDF" w:rsidP="00912BDF">
      <w:pPr>
        <w:rPr>
          <w:highlight w:val="lightGray"/>
        </w:rPr>
      </w:pPr>
      <w:r w:rsidRPr="00C45350">
        <w:rPr>
          <w:highlight w:val="lightGray"/>
        </w:rPr>
        <w:t xml:space="preserve">Atacand 32 mg tabletės </w:t>
      </w:r>
    </w:p>
    <w:p w14:paraId="40B043D1" w14:textId="77777777" w:rsidR="00912BDF" w:rsidRPr="00C45350" w:rsidRDefault="00912BDF" w:rsidP="00912BDF">
      <w:pPr>
        <w:autoSpaceDE w:val="0"/>
        <w:autoSpaceDN w:val="0"/>
        <w:adjustRightInd w:val="0"/>
        <w:rPr>
          <w:highlight w:val="lightGray"/>
        </w:rPr>
      </w:pPr>
      <w:r w:rsidRPr="00C45350">
        <w:rPr>
          <w:highlight w:val="lightGray"/>
        </w:rPr>
        <w:t>LT/1/99/0689/071 - buteliukas, N100</w:t>
      </w:r>
    </w:p>
    <w:p w14:paraId="45267893" w14:textId="77777777" w:rsidR="00912BDF" w:rsidRPr="00A913BF" w:rsidRDefault="00912BDF" w:rsidP="00912BDF">
      <w:pPr>
        <w:autoSpaceDE w:val="0"/>
        <w:autoSpaceDN w:val="0"/>
        <w:adjustRightInd w:val="0"/>
        <w:rPr>
          <w:szCs w:val="22"/>
        </w:rPr>
      </w:pPr>
      <w:r w:rsidRPr="00C45350">
        <w:rPr>
          <w:highlight w:val="lightGray"/>
        </w:rPr>
        <w:t>LT/1/99/0689/072 - buteliukas, N250</w:t>
      </w:r>
    </w:p>
    <w:p w14:paraId="6FEC7C76" w14:textId="77777777" w:rsidR="00912BDF" w:rsidRPr="00A913BF" w:rsidRDefault="00912BDF" w:rsidP="00912BDF">
      <w:pPr>
        <w:rPr>
          <w:szCs w:val="22"/>
        </w:rPr>
      </w:pPr>
    </w:p>
    <w:p w14:paraId="5E6FABA2" w14:textId="77777777" w:rsidR="00912BDF" w:rsidRPr="00A913BF" w:rsidRDefault="00912BDF" w:rsidP="00912BDF">
      <w:pPr>
        <w:rPr>
          <w:szCs w:val="22"/>
        </w:rPr>
      </w:pPr>
    </w:p>
    <w:p w14:paraId="7D184DEC"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40" w:hanging="540"/>
        <w:outlineLvl w:val="0"/>
        <w:rPr>
          <w:szCs w:val="22"/>
        </w:rPr>
      </w:pPr>
      <w:r w:rsidRPr="00A913BF">
        <w:rPr>
          <w:b/>
          <w:szCs w:val="22"/>
        </w:rPr>
        <w:t>13.</w:t>
      </w:r>
      <w:r w:rsidRPr="00A913BF">
        <w:rPr>
          <w:b/>
          <w:szCs w:val="22"/>
        </w:rPr>
        <w:tab/>
        <w:t>SERIJOS NUMERIS</w:t>
      </w:r>
    </w:p>
    <w:p w14:paraId="28726267" w14:textId="77777777" w:rsidR="00912BDF" w:rsidRPr="00A913BF" w:rsidRDefault="00912BDF" w:rsidP="00912BDF">
      <w:pPr>
        <w:rPr>
          <w:szCs w:val="22"/>
        </w:rPr>
      </w:pPr>
    </w:p>
    <w:p w14:paraId="4735D313" w14:textId="77777777" w:rsidR="00912BDF" w:rsidRPr="00A913BF" w:rsidRDefault="00912BDF" w:rsidP="00912BDF">
      <w:pPr>
        <w:rPr>
          <w:szCs w:val="22"/>
        </w:rPr>
      </w:pPr>
      <w:r w:rsidRPr="00A913BF">
        <w:rPr>
          <w:szCs w:val="22"/>
        </w:rPr>
        <w:t>Serija</w:t>
      </w:r>
    </w:p>
    <w:p w14:paraId="76EF4894" w14:textId="77777777" w:rsidR="00912BDF" w:rsidRPr="00A913BF" w:rsidRDefault="00912BDF" w:rsidP="00912BDF">
      <w:pPr>
        <w:rPr>
          <w:szCs w:val="22"/>
        </w:rPr>
      </w:pPr>
    </w:p>
    <w:p w14:paraId="54C05D4F" w14:textId="77777777" w:rsidR="00912BDF" w:rsidRPr="00A913BF" w:rsidRDefault="00912BDF" w:rsidP="00912BDF">
      <w:pPr>
        <w:rPr>
          <w:szCs w:val="22"/>
        </w:rPr>
      </w:pPr>
    </w:p>
    <w:p w14:paraId="72C8902A"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40" w:hanging="540"/>
        <w:outlineLvl w:val="0"/>
        <w:rPr>
          <w:szCs w:val="22"/>
        </w:rPr>
      </w:pPr>
      <w:r w:rsidRPr="00A913BF">
        <w:rPr>
          <w:b/>
          <w:szCs w:val="22"/>
        </w:rPr>
        <w:t>14.</w:t>
      </w:r>
      <w:r w:rsidRPr="00A913BF">
        <w:rPr>
          <w:b/>
          <w:szCs w:val="22"/>
        </w:rPr>
        <w:tab/>
      </w:r>
      <w:r w:rsidRPr="00912BDF">
        <w:rPr>
          <w:b/>
          <w:szCs w:val="22"/>
        </w:rPr>
        <w:t xml:space="preserve">PARDAVIMO </w:t>
      </w:r>
      <w:r w:rsidRPr="00912BDF">
        <w:rPr>
          <w:rStyle w:val="Antrat1Diagrama"/>
          <w:bCs/>
          <w:sz w:val="22"/>
          <w:szCs w:val="22"/>
        </w:rPr>
        <w:t>(IŠDAVIMO)</w:t>
      </w:r>
      <w:r w:rsidRPr="00912BDF">
        <w:rPr>
          <w:b/>
          <w:caps/>
          <w:szCs w:val="22"/>
        </w:rPr>
        <w:t xml:space="preserve"> tvarka</w:t>
      </w:r>
    </w:p>
    <w:p w14:paraId="134F8DC0" w14:textId="77777777" w:rsidR="00912BDF" w:rsidRPr="00A913BF" w:rsidRDefault="00912BDF" w:rsidP="00912BDF">
      <w:pPr>
        <w:rPr>
          <w:szCs w:val="22"/>
        </w:rPr>
      </w:pPr>
    </w:p>
    <w:p w14:paraId="6DFDC734" w14:textId="77777777" w:rsidR="00912BDF" w:rsidRPr="00A913BF" w:rsidRDefault="00912BDF" w:rsidP="00912BDF">
      <w:pPr>
        <w:rPr>
          <w:szCs w:val="22"/>
          <w:lang w:eastAsia="lt-LT"/>
        </w:rPr>
      </w:pPr>
      <w:r w:rsidRPr="00A913BF">
        <w:rPr>
          <w:szCs w:val="22"/>
          <w:lang w:eastAsia="lt-LT"/>
        </w:rPr>
        <w:t>Receptinis vaist</w:t>
      </w:r>
      <w:r>
        <w:rPr>
          <w:szCs w:val="22"/>
          <w:lang w:eastAsia="lt-LT"/>
        </w:rPr>
        <w:t>as</w:t>
      </w:r>
    </w:p>
    <w:p w14:paraId="3BD00888" w14:textId="77777777" w:rsidR="00912BDF" w:rsidRPr="00A913BF" w:rsidRDefault="00912BDF" w:rsidP="00912BDF">
      <w:pPr>
        <w:rPr>
          <w:szCs w:val="22"/>
        </w:rPr>
      </w:pPr>
    </w:p>
    <w:p w14:paraId="36E41FF3" w14:textId="77777777" w:rsidR="00912BDF" w:rsidRPr="00A913BF" w:rsidRDefault="00912BDF" w:rsidP="00912BDF">
      <w:pPr>
        <w:rPr>
          <w:szCs w:val="22"/>
        </w:rPr>
      </w:pPr>
    </w:p>
    <w:p w14:paraId="68AA7F3F"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40" w:hanging="540"/>
        <w:outlineLvl w:val="0"/>
        <w:rPr>
          <w:szCs w:val="22"/>
        </w:rPr>
      </w:pPr>
      <w:r w:rsidRPr="00A913BF">
        <w:rPr>
          <w:b/>
          <w:szCs w:val="22"/>
        </w:rPr>
        <w:t>15.</w:t>
      </w:r>
      <w:r w:rsidRPr="00A913BF">
        <w:rPr>
          <w:b/>
          <w:szCs w:val="22"/>
        </w:rPr>
        <w:tab/>
      </w:r>
      <w:r w:rsidRPr="00A913BF">
        <w:rPr>
          <w:b/>
          <w:caps/>
          <w:szCs w:val="22"/>
        </w:rPr>
        <w:t>vartojimo instrukcijA</w:t>
      </w:r>
    </w:p>
    <w:p w14:paraId="6FE08926" w14:textId="77777777" w:rsidR="00912BDF" w:rsidRPr="00A913BF" w:rsidRDefault="00912BDF" w:rsidP="00912BDF">
      <w:pPr>
        <w:rPr>
          <w:szCs w:val="22"/>
        </w:rPr>
      </w:pPr>
    </w:p>
    <w:p w14:paraId="13FA5AE9" w14:textId="77777777" w:rsidR="00912BDF" w:rsidRPr="00A913BF" w:rsidRDefault="00912BDF" w:rsidP="00912BDF">
      <w:pPr>
        <w:rPr>
          <w:szCs w:val="22"/>
        </w:rPr>
      </w:pPr>
    </w:p>
    <w:p w14:paraId="067E69E6"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39" w:hanging="539"/>
        <w:outlineLvl w:val="0"/>
        <w:rPr>
          <w:szCs w:val="22"/>
        </w:rPr>
      </w:pPr>
      <w:r w:rsidRPr="00A913BF">
        <w:rPr>
          <w:b/>
          <w:szCs w:val="22"/>
        </w:rPr>
        <w:t>16.</w:t>
      </w:r>
      <w:r w:rsidRPr="00A913BF">
        <w:rPr>
          <w:b/>
          <w:szCs w:val="22"/>
        </w:rPr>
        <w:tab/>
        <w:t>INFORMACIJA BRAILIO RAŠTU</w:t>
      </w:r>
    </w:p>
    <w:p w14:paraId="3AB15A72" w14:textId="77777777" w:rsidR="00912BDF" w:rsidRPr="00A913BF" w:rsidRDefault="00912BDF" w:rsidP="00912BDF">
      <w:pPr>
        <w:rPr>
          <w:szCs w:val="22"/>
        </w:rPr>
      </w:pPr>
    </w:p>
    <w:p w14:paraId="40E7A29A" w14:textId="77777777" w:rsidR="00912BDF" w:rsidRPr="000801D7" w:rsidRDefault="00912BDF" w:rsidP="00912BDF">
      <w:pPr>
        <w:rPr>
          <w:szCs w:val="22"/>
          <w:shd w:val="clear" w:color="auto" w:fill="CCCCCC"/>
        </w:rPr>
      </w:pPr>
    </w:p>
    <w:p w14:paraId="1155C9F6" w14:textId="77777777" w:rsidR="00912BDF" w:rsidRPr="000801D7" w:rsidRDefault="00912BDF" w:rsidP="00912BDF">
      <w:pPr>
        <w:keepNext/>
        <w:pBdr>
          <w:top w:val="single" w:sz="4" w:space="1" w:color="auto"/>
          <w:left w:val="single" w:sz="4" w:space="4" w:color="auto"/>
          <w:bottom w:val="single" w:sz="4" w:space="1" w:color="auto"/>
          <w:right w:val="single" w:sz="4" w:space="4" w:color="auto"/>
        </w:pBdr>
        <w:ind w:left="539" w:hanging="539"/>
        <w:outlineLvl w:val="0"/>
        <w:rPr>
          <w:i/>
        </w:rPr>
      </w:pPr>
      <w:r w:rsidRPr="000801D7">
        <w:rPr>
          <w:b/>
        </w:rPr>
        <w:t>17.</w:t>
      </w:r>
      <w:r w:rsidRPr="000801D7">
        <w:rPr>
          <w:b/>
        </w:rPr>
        <w:tab/>
        <w:t>UNIKALUS IDENTIFIKATORIUS – 2D BRŪKŠNINIS KODAS</w:t>
      </w:r>
    </w:p>
    <w:p w14:paraId="233197F1" w14:textId="77777777" w:rsidR="00912BDF" w:rsidRPr="000801D7" w:rsidRDefault="00912BDF" w:rsidP="00912BDF"/>
    <w:p w14:paraId="409ECD85" w14:textId="77777777" w:rsidR="00912BDF" w:rsidRPr="000801D7" w:rsidRDefault="00912BDF" w:rsidP="00912BDF"/>
    <w:p w14:paraId="273F4068" w14:textId="77777777" w:rsidR="00912BDF" w:rsidRPr="000801D7" w:rsidRDefault="00912BDF" w:rsidP="00912BDF">
      <w:pPr>
        <w:keepNext/>
        <w:pBdr>
          <w:top w:val="single" w:sz="4" w:space="1" w:color="auto"/>
          <w:left w:val="single" w:sz="4" w:space="4" w:color="auto"/>
          <w:bottom w:val="single" w:sz="4" w:space="1" w:color="auto"/>
          <w:right w:val="single" w:sz="4" w:space="4" w:color="auto"/>
        </w:pBdr>
        <w:ind w:left="539" w:hanging="539"/>
        <w:outlineLvl w:val="0"/>
        <w:rPr>
          <w:i/>
        </w:rPr>
      </w:pPr>
      <w:r w:rsidRPr="000801D7">
        <w:rPr>
          <w:b/>
        </w:rPr>
        <w:t>18.</w:t>
      </w:r>
      <w:r w:rsidRPr="000801D7">
        <w:rPr>
          <w:b/>
        </w:rPr>
        <w:tab/>
        <w:t>UNIKALUS IDENTIFIKATORIUS – ŽMONĖMS SUPRANTAMI DUOMENYS</w:t>
      </w:r>
    </w:p>
    <w:p w14:paraId="4096AE7F" w14:textId="77777777" w:rsidR="00912BDF" w:rsidRPr="00A913BF" w:rsidRDefault="00912BDF" w:rsidP="00912BDF">
      <w:pPr>
        <w:rPr>
          <w:bCs/>
          <w:szCs w:val="22"/>
        </w:rPr>
      </w:pPr>
    </w:p>
    <w:p w14:paraId="784D9F5A" w14:textId="77777777" w:rsidR="00912BDF" w:rsidRPr="00A913BF" w:rsidRDefault="00912BDF" w:rsidP="00912BDF">
      <w:pPr>
        <w:pBdr>
          <w:top w:val="single" w:sz="4" w:space="1" w:color="auto"/>
          <w:left w:val="single" w:sz="4" w:space="4" w:color="auto"/>
          <w:bottom w:val="single" w:sz="4" w:space="1" w:color="auto"/>
          <w:right w:val="single" w:sz="4" w:space="4" w:color="auto"/>
        </w:pBdr>
        <w:rPr>
          <w:b/>
          <w:szCs w:val="22"/>
        </w:rPr>
      </w:pPr>
      <w:r w:rsidRPr="00A913BF">
        <w:rPr>
          <w:b/>
          <w:szCs w:val="22"/>
        </w:rPr>
        <w:lastRenderedPageBreak/>
        <w:t xml:space="preserve">MINIMALI </w:t>
      </w:r>
      <w:r w:rsidRPr="00A913BF">
        <w:rPr>
          <w:b/>
          <w:caps/>
          <w:szCs w:val="22"/>
        </w:rPr>
        <w:t xml:space="preserve">informacija ant </w:t>
      </w:r>
      <w:r w:rsidRPr="00A913BF">
        <w:rPr>
          <w:b/>
          <w:szCs w:val="22"/>
        </w:rPr>
        <w:t>LIZDINIŲ PLOKŠTELIŲ ARBA DVISLUOKSNIŲ JUOSTELIŲ</w:t>
      </w:r>
    </w:p>
    <w:p w14:paraId="54E72ED0" w14:textId="77777777" w:rsidR="00912BDF" w:rsidRPr="00A913BF" w:rsidRDefault="00912BDF" w:rsidP="00912BDF">
      <w:pPr>
        <w:pBdr>
          <w:top w:val="single" w:sz="4" w:space="1" w:color="auto"/>
          <w:left w:val="single" w:sz="4" w:space="4" w:color="auto"/>
          <w:bottom w:val="single" w:sz="4" w:space="1" w:color="auto"/>
          <w:right w:val="single" w:sz="4" w:space="4" w:color="auto"/>
        </w:pBdr>
        <w:rPr>
          <w:b/>
          <w:szCs w:val="22"/>
        </w:rPr>
      </w:pPr>
    </w:p>
    <w:p w14:paraId="43FBC9CA" w14:textId="77777777" w:rsidR="00912BDF" w:rsidRPr="00A913BF" w:rsidRDefault="00912BDF" w:rsidP="00912BDF">
      <w:pPr>
        <w:pBdr>
          <w:top w:val="single" w:sz="4" w:space="1" w:color="auto"/>
          <w:left w:val="single" w:sz="4" w:space="4" w:color="auto"/>
          <w:bottom w:val="single" w:sz="4" w:space="1" w:color="auto"/>
          <w:right w:val="single" w:sz="4" w:space="4" w:color="auto"/>
        </w:pBdr>
        <w:rPr>
          <w:b/>
          <w:szCs w:val="22"/>
        </w:rPr>
      </w:pPr>
      <w:r w:rsidRPr="00A913BF">
        <w:rPr>
          <w:b/>
          <w:szCs w:val="22"/>
        </w:rPr>
        <w:t>Neperforuota folija, perforuota folija</w:t>
      </w:r>
    </w:p>
    <w:p w14:paraId="2D791743" w14:textId="77777777" w:rsidR="00912BDF" w:rsidRPr="00A913BF" w:rsidRDefault="00912BDF" w:rsidP="00912BDF">
      <w:pPr>
        <w:rPr>
          <w:b/>
          <w:szCs w:val="22"/>
        </w:rPr>
      </w:pPr>
    </w:p>
    <w:p w14:paraId="197E26C1" w14:textId="77777777" w:rsidR="00912BDF" w:rsidRPr="00A913BF" w:rsidRDefault="00912BDF" w:rsidP="00912BDF">
      <w:pPr>
        <w:rPr>
          <w:b/>
          <w:szCs w:val="22"/>
        </w:rPr>
      </w:pPr>
    </w:p>
    <w:p w14:paraId="17A1838C" w14:textId="77777777" w:rsidR="00912BDF" w:rsidRPr="00A913BF" w:rsidRDefault="00912BDF" w:rsidP="00912BDF">
      <w:pPr>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A913BF">
        <w:rPr>
          <w:b/>
          <w:szCs w:val="22"/>
        </w:rPr>
        <w:t>1.</w:t>
      </w:r>
      <w:r w:rsidRPr="00A913BF">
        <w:rPr>
          <w:b/>
          <w:szCs w:val="22"/>
        </w:rPr>
        <w:tab/>
      </w:r>
      <w:r w:rsidRPr="00A913BF">
        <w:rPr>
          <w:b/>
          <w:caps/>
          <w:szCs w:val="22"/>
        </w:rPr>
        <w:t>Vaistinio preparato pavadinimas</w:t>
      </w:r>
    </w:p>
    <w:p w14:paraId="2A4045A3" w14:textId="77777777" w:rsidR="00912BDF" w:rsidRPr="00A913BF" w:rsidRDefault="00912BDF" w:rsidP="00912BDF">
      <w:pPr>
        <w:ind w:left="567" w:hanging="567"/>
        <w:rPr>
          <w:szCs w:val="22"/>
        </w:rPr>
      </w:pPr>
    </w:p>
    <w:p w14:paraId="7EBC4565" w14:textId="77777777" w:rsidR="00912BDF" w:rsidRPr="00A913BF" w:rsidRDefault="00912BDF" w:rsidP="00912BDF">
      <w:pPr>
        <w:autoSpaceDE w:val="0"/>
        <w:autoSpaceDN w:val="0"/>
        <w:adjustRightInd w:val="0"/>
        <w:rPr>
          <w:szCs w:val="22"/>
          <w:lang w:eastAsia="lt-LT"/>
        </w:rPr>
      </w:pPr>
      <w:r w:rsidRPr="00A913BF">
        <w:rPr>
          <w:szCs w:val="22"/>
          <w:lang w:eastAsia="lt-LT"/>
        </w:rPr>
        <w:t>Atacand 4 mg tabletės</w:t>
      </w:r>
    </w:p>
    <w:p w14:paraId="17BF22F6" w14:textId="77777777" w:rsidR="00912BDF" w:rsidRPr="00C45350" w:rsidRDefault="00912BDF" w:rsidP="00912BDF">
      <w:pPr>
        <w:autoSpaceDE w:val="0"/>
        <w:autoSpaceDN w:val="0"/>
        <w:adjustRightInd w:val="0"/>
        <w:rPr>
          <w:highlight w:val="lightGray"/>
        </w:rPr>
      </w:pPr>
      <w:r w:rsidRPr="00C45350">
        <w:rPr>
          <w:highlight w:val="lightGray"/>
        </w:rPr>
        <w:t>Atacand 8 mg tabletės</w:t>
      </w:r>
    </w:p>
    <w:p w14:paraId="1AAD072B" w14:textId="77777777" w:rsidR="00912BDF" w:rsidRPr="00C45350" w:rsidRDefault="00912BDF" w:rsidP="00912BDF">
      <w:pPr>
        <w:autoSpaceDE w:val="0"/>
        <w:autoSpaceDN w:val="0"/>
        <w:adjustRightInd w:val="0"/>
        <w:rPr>
          <w:highlight w:val="lightGray"/>
        </w:rPr>
      </w:pPr>
      <w:r w:rsidRPr="00C45350">
        <w:rPr>
          <w:highlight w:val="lightGray"/>
        </w:rPr>
        <w:t>Atacand 16 mg tabletės</w:t>
      </w:r>
    </w:p>
    <w:p w14:paraId="7AF8C141" w14:textId="77777777" w:rsidR="00912BDF" w:rsidRPr="00A913BF" w:rsidRDefault="00912BDF" w:rsidP="00912BDF">
      <w:pPr>
        <w:rPr>
          <w:szCs w:val="22"/>
        </w:rPr>
      </w:pPr>
      <w:r w:rsidRPr="00C45350">
        <w:rPr>
          <w:highlight w:val="lightGray"/>
        </w:rPr>
        <w:t>Atacand 32 mg tabletės</w:t>
      </w:r>
    </w:p>
    <w:p w14:paraId="341AC324" w14:textId="77777777" w:rsidR="00912BDF" w:rsidRPr="00A913BF" w:rsidRDefault="00912BDF" w:rsidP="00912BDF">
      <w:pPr>
        <w:rPr>
          <w:szCs w:val="22"/>
        </w:rPr>
      </w:pPr>
    </w:p>
    <w:p w14:paraId="01BCFE8B" w14:textId="77777777" w:rsidR="00912BDF" w:rsidRPr="00A913BF" w:rsidRDefault="00912BDF" w:rsidP="00912BDF">
      <w:pPr>
        <w:rPr>
          <w:szCs w:val="22"/>
        </w:rPr>
      </w:pPr>
      <w:r w:rsidRPr="00A913BF">
        <w:rPr>
          <w:szCs w:val="22"/>
        </w:rPr>
        <w:t>Kandesartano cileksetilas</w:t>
      </w:r>
    </w:p>
    <w:p w14:paraId="4A7DD264" w14:textId="77777777" w:rsidR="00912BDF" w:rsidRPr="00A913BF" w:rsidRDefault="00912BDF" w:rsidP="00912BDF">
      <w:pPr>
        <w:rPr>
          <w:b/>
          <w:szCs w:val="22"/>
        </w:rPr>
      </w:pPr>
    </w:p>
    <w:p w14:paraId="57FD3380" w14:textId="77777777" w:rsidR="00912BDF" w:rsidRPr="00A913BF" w:rsidRDefault="00912BDF" w:rsidP="00912BDF">
      <w:pPr>
        <w:rPr>
          <w:b/>
          <w:szCs w:val="22"/>
        </w:rPr>
      </w:pPr>
    </w:p>
    <w:p w14:paraId="27AD98EF" w14:textId="77777777" w:rsidR="00912BDF" w:rsidRPr="00A913BF" w:rsidRDefault="00912BDF" w:rsidP="00912BDF">
      <w:pPr>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A913BF">
        <w:rPr>
          <w:b/>
          <w:szCs w:val="22"/>
        </w:rPr>
        <w:t>2.</w:t>
      </w:r>
      <w:r w:rsidRPr="00A913BF">
        <w:rPr>
          <w:b/>
          <w:szCs w:val="22"/>
        </w:rPr>
        <w:tab/>
        <w:t>R</w:t>
      </w:r>
      <w:r>
        <w:rPr>
          <w:b/>
          <w:szCs w:val="22"/>
        </w:rPr>
        <w:t>EGISTRUOTOJO</w:t>
      </w:r>
      <w:r w:rsidRPr="00A913BF">
        <w:rPr>
          <w:b/>
          <w:caps/>
          <w:szCs w:val="22"/>
        </w:rPr>
        <w:t xml:space="preserve"> pavadinimas</w:t>
      </w:r>
    </w:p>
    <w:p w14:paraId="49D0BDB9" w14:textId="77777777" w:rsidR="00912BDF" w:rsidRPr="00A913BF" w:rsidRDefault="00912BDF" w:rsidP="00912BDF">
      <w:pPr>
        <w:rPr>
          <w:b/>
          <w:szCs w:val="22"/>
        </w:rPr>
      </w:pPr>
    </w:p>
    <w:p w14:paraId="748BE754" w14:textId="77777777" w:rsidR="00150E2A" w:rsidRDefault="00150E2A" w:rsidP="00150E2A">
      <w:pPr>
        <w:rPr>
          <w:szCs w:val="22"/>
        </w:rPr>
      </w:pPr>
      <w:r w:rsidRPr="003422CA">
        <w:rPr>
          <w:szCs w:val="22"/>
        </w:rPr>
        <w:t>CHEPLAPHARM Arzneimittel GmbH</w:t>
      </w:r>
      <w:r>
        <w:rPr>
          <w:szCs w:val="22"/>
        </w:rPr>
        <w:t xml:space="preserve"> </w:t>
      </w:r>
    </w:p>
    <w:p w14:paraId="136A1A42" w14:textId="77777777" w:rsidR="00912BDF" w:rsidRPr="00A913BF" w:rsidRDefault="00912BDF" w:rsidP="00912BDF">
      <w:pPr>
        <w:rPr>
          <w:b/>
          <w:szCs w:val="22"/>
        </w:rPr>
      </w:pPr>
    </w:p>
    <w:p w14:paraId="687E04F4" w14:textId="77777777" w:rsidR="00912BDF" w:rsidRPr="00A913BF" w:rsidRDefault="00912BDF" w:rsidP="00912BDF">
      <w:pPr>
        <w:rPr>
          <w:b/>
          <w:szCs w:val="22"/>
        </w:rPr>
      </w:pPr>
    </w:p>
    <w:p w14:paraId="45910092" w14:textId="77777777" w:rsidR="00912BDF" w:rsidRPr="00A913BF" w:rsidRDefault="00912BDF" w:rsidP="00912BDF">
      <w:pPr>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A913BF">
        <w:rPr>
          <w:b/>
          <w:szCs w:val="22"/>
        </w:rPr>
        <w:t>3.</w:t>
      </w:r>
      <w:r w:rsidRPr="00A913BF">
        <w:rPr>
          <w:b/>
          <w:szCs w:val="22"/>
        </w:rPr>
        <w:tab/>
      </w:r>
      <w:r w:rsidRPr="00A913BF">
        <w:rPr>
          <w:b/>
          <w:caps/>
          <w:szCs w:val="22"/>
        </w:rPr>
        <w:t>tinkamumo laikas</w:t>
      </w:r>
    </w:p>
    <w:p w14:paraId="66CFCB83" w14:textId="77777777" w:rsidR="00912BDF" w:rsidRPr="00A913BF" w:rsidRDefault="00912BDF" w:rsidP="00912BDF">
      <w:pPr>
        <w:rPr>
          <w:b/>
          <w:szCs w:val="22"/>
        </w:rPr>
      </w:pPr>
    </w:p>
    <w:p w14:paraId="4CBF3EB3" w14:textId="77777777" w:rsidR="00912BDF" w:rsidRPr="00A913BF" w:rsidRDefault="00912BDF" w:rsidP="00912BDF">
      <w:pPr>
        <w:rPr>
          <w:szCs w:val="22"/>
        </w:rPr>
      </w:pPr>
      <w:r w:rsidRPr="00A913BF">
        <w:rPr>
          <w:szCs w:val="22"/>
        </w:rPr>
        <w:t xml:space="preserve">Tinka iki </w:t>
      </w:r>
      <w:r w:rsidRPr="00A913BF">
        <w:rPr>
          <w:szCs w:val="22"/>
          <w:lang w:val="fi-FI"/>
        </w:rPr>
        <w:t>{MMMM-mm}</w:t>
      </w:r>
    </w:p>
    <w:p w14:paraId="5FD53842" w14:textId="77777777" w:rsidR="00912BDF" w:rsidRPr="00A913BF" w:rsidRDefault="00912BDF" w:rsidP="00912BDF">
      <w:pPr>
        <w:rPr>
          <w:b/>
          <w:szCs w:val="22"/>
        </w:rPr>
      </w:pPr>
    </w:p>
    <w:p w14:paraId="11DC3703" w14:textId="77777777" w:rsidR="00912BDF" w:rsidRPr="00A913BF" w:rsidRDefault="00912BDF" w:rsidP="00912BDF">
      <w:pPr>
        <w:rPr>
          <w:szCs w:val="22"/>
        </w:rPr>
      </w:pPr>
    </w:p>
    <w:p w14:paraId="48372B4E" w14:textId="77777777" w:rsidR="00912BDF" w:rsidRPr="00A913BF" w:rsidRDefault="00912BDF" w:rsidP="00912BDF">
      <w:pPr>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A913BF">
        <w:rPr>
          <w:b/>
          <w:szCs w:val="22"/>
        </w:rPr>
        <w:t>4.</w:t>
      </w:r>
      <w:r w:rsidRPr="00A913BF">
        <w:rPr>
          <w:b/>
          <w:szCs w:val="22"/>
        </w:rPr>
        <w:tab/>
      </w:r>
      <w:r w:rsidRPr="00A913BF">
        <w:rPr>
          <w:b/>
          <w:caps/>
          <w:szCs w:val="22"/>
        </w:rPr>
        <w:t>serijos numeris</w:t>
      </w:r>
    </w:p>
    <w:p w14:paraId="0785388A" w14:textId="77777777" w:rsidR="00912BDF" w:rsidRPr="00A913BF" w:rsidRDefault="00912BDF" w:rsidP="00912BDF">
      <w:pPr>
        <w:ind w:right="113"/>
        <w:rPr>
          <w:szCs w:val="22"/>
        </w:rPr>
      </w:pPr>
    </w:p>
    <w:p w14:paraId="1CD6BA83" w14:textId="77777777" w:rsidR="00912BDF" w:rsidRPr="00A913BF" w:rsidRDefault="00912BDF" w:rsidP="00912BDF">
      <w:pPr>
        <w:ind w:right="113"/>
        <w:rPr>
          <w:szCs w:val="22"/>
        </w:rPr>
      </w:pPr>
      <w:r w:rsidRPr="00A913BF">
        <w:rPr>
          <w:szCs w:val="22"/>
        </w:rPr>
        <w:t>Serija</w:t>
      </w:r>
    </w:p>
    <w:p w14:paraId="74BDE5CA" w14:textId="77777777" w:rsidR="00912BDF" w:rsidRPr="00A913BF" w:rsidRDefault="00912BDF" w:rsidP="00912BDF">
      <w:pPr>
        <w:ind w:right="113"/>
        <w:rPr>
          <w:szCs w:val="22"/>
        </w:rPr>
      </w:pPr>
    </w:p>
    <w:p w14:paraId="34256B0C" w14:textId="77777777" w:rsidR="00912BDF" w:rsidRPr="00A913BF" w:rsidRDefault="00912BDF" w:rsidP="00912BDF">
      <w:pPr>
        <w:ind w:right="113"/>
        <w:rPr>
          <w:szCs w:val="22"/>
        </w:rPr>
      </w:pPr>
    </w:p>
    <w:p w14:paraId="1A887E28" w14:textId="77777777" w:rsidR="00912BDF" w:rsidRPr="00A913BF" w:rsidRDefault="00912BDF" w:rsidP="00912BDF">
      <w:pPr>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A913BF">
        <w:rPr>
          <w:b/>
          <w:szCs w:val="22"/>
        </w:rPr>
        <w:t>5.</w:t>
      </w:r>
      <w:r w:rsidRPr="00A913BF">
        <w:rPr>
          <w:b/>
          <w:szCs w:val="22"/>
        </w:rPr>
        <w:tab/>
        <w:t>KITA</w:t>
      </w:r>
    </w:p>
    <w:p w14:paraId="015C935C" w14:textId="77777777" w:rsidR="00912BDF" w:rsidRPr="00A913BF" w:rsidRDefault="00912BDF" w:rsidP="00912BDF">
      <w:pPr>
        <w:ind w:right="113"/>
        <w:rPr>
          <w:szCs w:val="22"/>
        </w:rPr>
      </w:pPr>
    </w:p>
    <w:p w14:paraId="578DE731" w14:textId="77777777" w:rsidR="00912BDF" w:rsidRPr="00912BDF" w:rsidRDefault="00912BDF" w:rsidP="00912BDF">
      <w:pPr>
        <w:pBdr>
          <w:top w:val="single" w:sz="4" w:space="1" w:color="auto"/>
          <w:left w:val="single" w:sz="4" w:space="4" w:color="auto"/>
          <w:bottom w:val="single" w:sz="4" w:space="1" w:color="auto"/>
          <w:right w:val="single" w:sz="4" w:space="4" w:color="auto"/>
        </w:pBdr>
        <w:rPr>
          <w:b/>
          <w:szCs w:val="22"/>
        </w:rPr>
      </w:pPr>
      <w:r w:rsidRPr="00A913BF">
        <w:rPr>
          <w:szCs w:val="22"/>
        </w:rPr>
        <w:br w:type="page"/>
      </w:r>
      <w:r w:rsidRPr="00912BDF">
        <w:rPr>
          <w:b/>
          <w:caps/>
          <w:szCs w:val="22"/>
        </w:rPr>
        <w:lastRenderedPageBreak/>
        <w:t>Minimali informacija ant</w:t>
      </w:r>
      <w:r w:rsidRPr="00912BDF">
        <w:rPr>
          <w:rStyle w:val="Antrat1Diagrama"/>
          <w:b w:val="0"/>
          <w:bCs/>
          <w:sz w:val="22"/>
          <w:szCs w:val="22"/>
        </w:rPr>
        <w:t xml:space="preserve"> </w:t>
      </w:r>
      <w:r w:rsidRPr="00912BDF">
        <w:rPr>
          <w:rStyle w:val="Antrat1Diagrama"/>
          <w:sz w:val="22"/>
          <w:szCs w:val="22"/>
        </w:rPr>
        <w:t>LIZDINIŲ PLOKŠTELIŲ</w:t>
      </w:r>
      <w:r w:rsidRPr="00912BDF">
        <w:rPr>
          <w:b/>
          <w:caps/>
          <w:szCs w:val="22"/>
        </w:rPr>
        <w:t xml:space="preserve"> ARBA DVISLUOKSNIŲ JUOSTELIŲ</w:t>
      </w:r>
    </w:p>
    <w:p w14:paraId="79EB3A89" w14:textId="77777777" w:rsidR="00912BDF" w:rsidRPr="00912BDF" w:rsidRDefault="00912BDF" w:rsidP="00912BDF">
      <w:pPr>
        <w:pBdr>
          <w:top w:val="single" w:sz="4" w:space="1" w:color="auto"/>
          <w:left w:val="single" w:sz="4" w:space="4" w:color="auto"/>
          <w:bottom w:val="single" w:sz="4" w:space="1" w:color="auto"/>
          <w:right w:val="single" w:sz="4" w:space="4" w:color="auto"/>
        </w:pBdr>
        <w:rPr>
          <w:b/>
          <w:szCs w:val="22"/>
        </w:rPr>
      </w:pPr>
    </w:p>
    <w:p w14:paraId="5031891D" w14:textId="77777777" w:rsidR="00912BDF" w:rsidRPr="00912BDF" w:rsidRDefault="00912BDF" w:rsidP="00912BDF">
      <w:pPr>
        <w:pBdr>
          <w:top w:val="single" w:sz="4" w:space="1" w:color="auto"/>
          <w:left w:val="single" w:sz="4" w:space="4" w:color="auto"/>
          <w:bottom w:val="single" w:sz="4" w:space="1" w:color="auto"/>
          <w:right w:val="single" w:sz="4" w:space="4" w:color="auto"/>
        </w:pBdr>
        <w:rPr>
          <w:szCs w:val="22"/>
        </w:rPr>
      </w:pPr>
      <w:r w:rsidRPr="00912BDF">
        <w:rPr>
          <w:rStyle w:val="Antrat1Diagrama"/>
          <w:sz w:val="22"/>
          <w:szCs w:val="22"/>
        </w:rPr>
        <w:t>Neperforuota kalendorinė folija (7, 14, 28, 56, 90 ir 98 tabletės)</w:t>
      </w:r>
    </w:p>
    <w:p w14:paraId="1765F461" w14:textId="77777777" w:rsidR="00912BDF" w:rsidRPr="00A913BF" w:rsidRDefault="00912BDF" w:rsidP="00912BDF">
      <w:pPr>
        <w:rPr>
          <w:szCs w:val="22"/>
        </w:rPr>
      </w:pPr>
    </w:p>
    <w:p w14:paraId="3D5CF4B8" w14:textId="77777777" w:rsidR="00912BDF" w:rsidRPr="00A913BF" w:rsidRDefault="00912BDF" w:rsidP="00912BDF">
      <w:pPr>
        <w:rPr>
          <w:szCs w:val="22"/>
        </w:rPr>
      </w:pPr>
    </w:p>
    <w:p w14:paraId="32251BA0"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40" w:hanging="540"/>
        <w:outlineLvl w:val="0"/>
        <w:rPr>
          <w:b/>
          <w:szCs w:val="22"/>
        </w:rPr>
      </w:pPr>
      <w:r w:rsidRPr="00A913BF">
        <w:rPr>
          <w:b/>
          <w:szCs w:val="22"/>
        </w:rPr>
        <w:t>1.</w:t>
      </w:r>
      <w:r w:rsidRPr="00A913BF">
        <w:rPr>
          <w:b/>
          <w:szCs w:val="22"/>
        </w:rPr>
        <w:tab/>
      </w:r>
      <w:r w:rsidRPr="00A913BF">
        <w:rPr>
          <w:b/>
          <w:caps/>
          <w:szCs w:val="22"/>
        </w:rPr>
        <w:t>Vaistinio preparato pavadinimas</w:t>
      </w:r>
    </w:p>
    <w:p w14:paraId="54A1885D" w14:textId="77777777" w:rsidR="00912BDF" w:rsidRPr="00A913BF" w:rsidRDefault="00912BDF" w:rsidP="00912BDF">
      <w:pPr>
        <w:ind w:left="567" w:hanging="567"/>
        <w:rPr>
          <w:szCs w:val="22"/>
        </w:rPr>
      </w:pPr>
    </w:p>
    <w:p w14:paraId="53F93D50" w14:textId="77777777" w:rsidR="00912BDF" w:rsidRPr="00A913BF" w:rsidRDefault="00912BDF" w:rsidP="00912BDF">
      <w:pPr>
        <w:autoSpaceDE w:val="0"/>
        <w:autoSpaceDN w:val="0"/>
        <w:adjustRightInd w:val="0"/>
        <w:rPr>
          <w:szCs w:val="22"/>
          <w:lang w:eastAsia="lt-LT"/>
        </w:rPr>
      </w:pPr>
      <w:r w:rsidRPr="00A913BF">
        <w:rPr>
          <w:szCs w:val="22"/>
          <w:lang w:eastAsia="lt-LT"/>
        </w:rPr>
        <w:t>Atacand 4 mg tabletės</w:t>
      </w:r>
    </w:p>
    <w:p w14:paraId="1BB204A0" w14:textId="77777777" w:rsidR="00912BDF" w:rsidRPr="00C45350" w:rsidRDefault="00912BDF" w:rsidP="00912BDF">
      <w:pPr>
        <w:autoSpaceDE w:val="0"/>
        <w:autoSpaceDN w:val="0"/>
        <w:adjustRightInd w:val="0"/>
        <w:rPr>
          <w:highlight w:val="lightGray"/>
        </w:rPr>
      </w:pPr>
      <w:r w:rsidRPr="00C45350">
        <w:rPr>
          <w:highlight w:val="lightGray"/>
        </w:rPr>
        <w:t>Atacand 8 mg tabletės</w:t>
      </w:r>
    </w:p>
    <w:p w14:paraId="17682A72" w14:textId="77777777" w:rsidR="00912BDF" w:rsidRPr="00C45350" w:rsidRDefault="00912BDF" w:rsidP="00912BDF">
      <w:pPr>
        <w:autoSpaceDE w:val="0"/>
        <w:autoSpaceDN w:val="0"/>
        <w:adjustRightInd w:val="0"/>
        <w:rPr>
          <w:highlight w:val="lightGray"/>
        </w:rPr>
      </w:pPr>
      <w:r w:rsidRPr="00C45350">
        <w:rPr>
          <w:highlight w:val="lightGray"/>
        </w:rPr>
        <w:t>Atacand 16 mg tabletės</w:t>
      </w:r>
    </w:p>
    <w:p w14:paraId="1231135C" w14:textId="77777777" w:rsidR="00912BDF" w:rsidRPr="00A913BF" w:rsidRDefault="00912BDF" w:rsidP="00912BDF">
      <w:pPr>
        <w:rPr>
          <w:szCs w:val="22"/>
        </w:rPr>
      </w:pPr>
      <w:r w:rsidRPr="00C45350">
        <w:rPr>
          <w:highlight w:val="lightGray"/>
        </w:rPr>
        <w:t>Atacand 32 mg tabletės</w:t>
      </w:r>
    </w:p>
    <w:p w14:paraId="7FC06FE2" w14:textId="77777777" w:rsidR="00912BDF" w:rsidRPr="00A913BF" w:rsidRDefault="00912BDF" w:rsidP="00912BDF">
      <w:pPr>
        <w:rPr>
          <w:szCs w:val="22"/>
        </w:rPr>
      </w:pPr>
    </w:p>
    <w:p w14:paraId="14912B8A" w14:textId="77777777" w:rsidR="00912BDF" w:rsidRPr="00A913BF" w:rsidRDefault="00912BDF" w:rsidP="00912BDF">
      <w:pPr>
        <w:rPr>
          <w:szCs w:val="22"/>
        </w:rPr>
      </w:pPr>
      <w:r w:rsidRPr="00A913BF">
        <w:rPr>
          <w:szCs w:val="22"/>
        </w:rPr>
        <w:t>Kandesartano cileksetilas</w:t>
      </w:r>
    </w:p>
    <w:p w14:paraId="203FF91E" w14:textId="77777777" w:rsidR="00912BDF" w:rsidRPr="00A913BF" w:rsidRDefault="00912BDF" w:rsidP="00912BDF">
      <w:pPr>
        <w:rPr>
          <w:szCs w:val="22"/>
        </w:rPr>
      </w:pPr>
    </w:p>
    <w:p w14:paraId="5144BF47" w14:textId="77777777" w:rsidR="00912BDF" w:rsidRPr="00A913BF" w:rsidRDefault="00912BDF" w:rsidP="00912BDF">
      <w:pPr>
        <w:rPr>
          <w:szCs w:val="22"/>
        </w:rPr>
      </w:pPr>
    </w:p>
    <w:p w14:paraId="556AD64A"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40" w:hanging="540"/>
        <w:outlineLvl w:val="0"/>
        <w:rPr>
          <w:szCs w:val="22"/>
        </w:rPr>
      </w:pPr>
      <w:r w:rsidRPr="00A913BF">
        <w:rPr>
          <w:b/>
          <w:szCs w:val="22"/>
        </w:rPr>
        <w:t>2.</w:t>
      </w:r>
      <w:r w:rsidRPr="00A913BF">
        <w:rPr>
          <w:b/>
          <w:szCs w:val="22"/>
        </w:rPr>
        <w:tab/>
        <w:t>R</w:t>
      </w:r>
      <w:r>
        <w:rPr>
          <w:b/>
          <w:szCs w:val="22"/>
        </w:rPr>
        <w:t>EGISTRUOTOJO</w:t>
      </w:r>
      <w:r w:rsidRPr="00A913BF">
        <w:rPr>
          <w:b/>
          <w:caps/>
          <w:szCs w:val="22"/>
        </w:rPr>
        <w:t xml:space="preserve"> pavadinimas</w:t>
      </w:r>
    </w:p>
    <w:p w14:paraId="7EABCA5E" w14:textId="77777777" w:rsidR="00912BDF" w:rsidRPr="00A913BF" w:rsidRDefault="00912BDF" w:rsidP="00912BDF">
      <w:pPr>
        <w:rPr>
          <w:szCs w:val="22"/>
        </w:rPr>
      </w:pPr>
    </w:p>
    <w:p w14:paraId="75BB1A8E" w14:textId="77777777" w:rsidR="00150E2A" w:rsidRDefault="00150E2A" w:rsidP="00150E2A">
      <w:pPr>
        <w:rPr>
          <w:szCs w:val="22"/>
        </w:rPr>
      </w:pPr>
      <w:r w:rsidRPr="003422CA">
        <w:rPr>
          <w:szCs w:val="22"/>
        </w:rPr>
        <w:t>CHEPLAPHARM Arzneimittel GmbH</w:t>
      </w:r>
      <w:r>
        <w:rPr>
          <w:szCs w:val="22"/>
        </w:rPr>
        <w:t xml:space="preserve"> </w:t>
      </w:r>
    </w:p>
    <w:p w14:paraId="7724F2DB" w14:textId="77777777" w:rsidR="00912BDF" w:rsidRPr="00A913BF" w:rsidRDefault="00912BDF" w:rsidP="00912BDF">
      <w:pPr>
        <w:rPr>
          <w:szCs w:val="22"/>
        </w:rPr>
      </w:pPr>
    </w:p>
    <w:p w14:paraId="5F85A7E7" w14:textId="77777777" w:rsidR="00912BDF" w:rsidRPr="00A913BF" w:rsidRDefault="00912BDF" w:rsidP="00912BDF">
      <w:pPr>
        <w:rPr>
          <w:szCs w:val="22"/>
        </w:rPr>
      </w:pPr>
    </w:p>
    <w:p w14:paraId="25873BEF" w14:textId="77777777" w:rsidR="00912BDF" w:rsidRPr="00A913BF" w:rsidRDefault="00912BDF" w:rsidP="00912BDF">
      <w:pPr>
        <w:pBdr>
          <w:top w:val="single" w:sz="4" w:space="1" w:color="auto"/>
          <w:left w:val="single" w:sz="4" w:space="4" w:color="auto"/>
          <w:bottom w:val="single" w:sz="4" w:space="1" w:color="auto"/>
          <w:right w:val="single" w:sz="4" w:space="4" w:color="auto"/>
        </w:pBdr>
        <w:ind w:left="540" w:hanging="540"/>
        <w:outlineLvl w:val="0"/>
        <w:rPr>
          <w:b/>
          <w:szCs w:val="22"/>
        </w:rPr>
      </w:pPr>
      <w:r w:rsidRPr="00A913BF">
        <w:rPr>
          <w:b/>
          <w:szCs w:val="22"/>
        </w:rPr>
        <w:t>3.</w:t>
      </w:r>
      <w:r w:rsidRPr="00A913BF">
        <w:rPr>
          <w:b/>
          <w:szCs w:val="22"/>
        </w:rPr>
        <w:tab/>
      </w:r>
      <w:r w:rsidRPr="00A913BF">
        <w:rPr>
          <w:b/>
          <w:caps/>
          <w:szCs w:val="22"/>
        </w:rPr>
        <w:t>tinkamumo laikas</w:t>
      </w:r>
    </w:p>
    <w:p w14:paraId="501312B2" w14:textId="77777777" w:rsidR="00912BDF" w:rsidRPr="00A913BF" w:rsidRDefault="00912BDF" w:rsidP="00912BDF">
      <w:pPr>
        <w:ind w:left="540" w:hanging="540"/>
        <w:rPr>
          <w:szCs w:val="22"/>
        </w:rPr>
      </w:pPr>
    </w:p>
    <w:p w14:paraId="06C10C76" w14:textId="77777777" w:rsidR="00912BDF" w:rsidRPr="00A913BF" w:rsidRDefault="00912BDF" w:rsidP="00912BDF">
      <w:pPr>
        <w:rPr>
          <w:szCs w:val="22"/>
        </w:rPr>
      </w:pPr>
      <w:r w:rsidRPr="00A913BF">
        <w:rPr>
          <w:szCs w:val="22"/>
        </w:rPr>
        <w:t xml:space="preserve">Tinka iki </w:t>
      </w:r>
      <w:r w:rsidRPr="00A913BF">
        <w:rPr>
          <w:szCs w:val="22"/>
          <w:lang w:val="fi-FI"/>
        </w:rPr>
        <w:t>{MMMM-mm}</w:t>
      </w:r>
    </w:p>
    <w:p w14:paraId="3707BD85" w14:textId="77777777" w:rsidR="00912BDF" w:rsidRPr="00A913BF" w:rsidRDefault="00912BDF" w:rsidP="00912BDF">
      <w:pPr>
        <w:rPr>
          <w:szCs w:val="22"/>
        </w:rPr>
      </w:pPr>
    </w:p>
    <w:p w14:paraId="3EFE6910" w14:textId="77777777" w:rsidR="00912BDF" w:rsidRPr="00A913BF" w:rsidRDefault="00912BDF" w:rsidP="00912BDF">
      <w:pPr>
        <w:rPr>
          <w:szCs w:val="22"/>
        </w:rPr>
      </w:pPr>
    </w:p>
    <w:p w14:paraId="41116B2C" w14:textId="77777777" w:rsidR="00912BDF" w:rsidRPr="00C45350" w:rsidRDefault="00912BDF" w:rsidP="00912BDF">
      <w:pPr>
        <w:pBdr>
          <w:top w:val="single" w:sz="4" w:space="1" w:color="auto"/>
          <w:left w:val="single" w:sz="4" w:space="4" w:color="auto"/>
          <w:bottom w:val="single" w:sz="4" w:space="1" w:color="auto"/>
          <w:right w:val="single" w:sz="4" w:space="4" w:color="auto"/>
        </w:pBdr>
        <w:ind w:left="540" w:hanging="540"/>
        <w:outlineLvl w:val="0"/>
        <w:rPr>
          <w:b/>
          <w:highlight w:val="lightGray"/>
        </w:rPr>
      </w:pPr>
      <w:r w:rsidRPr="00A913BF">
        <w:rPr>
          <w:b/>
          <w:szCs w:val="22"/>
        </w:rPr>
        <w:t>4.</w:t>
      </w:r>
      <w:r w:rsidRPr="00A913BF">
        <w:rPr>
          <w:b/>
          <w:szCs w:val="22"/>
        </w:rPr>
        <w:tab/>
      </w:r>
      <w:r w:rsidRPr="00A913BF">
        <w:rPr>
          <w:b/>
          <w:caps/>
          <w:szCs w:val="22"/>
        </w:rPr>
        <w:t>serijos numeris</w:t>
      </w:r>
    </w:p>
    <w:p w14:paraId="54494116" w14:textId="77777777" w:rsidR="00912BDF" w:rsidRPr="00A913BF" w:rsidRDefault="00912BDF" w:rsidP="00912BDF">
      <w:pPr>
        <w:ind w:right="113"/>
        <w:rPr>
          <w:szCs w:val="22"/>
        </w:rPr>
      </w:pPr>
    </w:p>
    <w:p w14:paraId="1952DB7C" w14:textId="77777777" w:rsidR="00912BDF" w:rsidRPr="00A913BF" w:rsidRDefault="00912BDF" w:rsidP="00912BDF">
      <w:pPr>
        <w:ind w:right="113"/>
        <w:rPr>
          <w:szCs w:val="22"/>
        </w:rPr>
      </w:pPr>
      <w:r w:rsidRPr="00A913BF">
        <w:rPr>
          <w:szCs w:val="22"/>
        </w:rPr>
        <w:t>Serija</w:t>
      </w:r>
    </w:p>
    <w:p w14:paraId="1ABAEC81" w14:textId="77777777" w:rsidR="00912BDF" w:rsidRPr="00A913BF" w:rsidRDefault="00912BDF" w:rsidP="00912BDF">
      <w:pPr>
        <w:ind w:right="113"/>
        <w:rPr>
          <w:szCs w:val="22"/>
        </w:rPr>
      </w:pPr>
    </w:p>
    <w:p w14:paraId="100FDD25" w14:textId="77777777" w:rsidR="00912BDF" w:rsidRPr="00A913BF" w:rsidRDefault="00912BDF" w:rsidP="00912BDF">
      <w:pPr>
        <w:ind w:right="113"/>
        <w:rPr>
          <w:szCs w:val="22"/>
        </w:rPr>
      </w:pPr>
    </w:p>
    <w:p w14:paraId="4BA38478" w14:textId="77777777" w:rsidR="00912BDF" w:rsidRPr="00C45350" w:rsidRDefault="00912BDF" w:rsidP="00912BDF">
      <w:pPr>
        <w:pBdr>
          <w:top w:val="single" w:sz="4" w:space="1" w:color="auto"/>
          <w:left w:val="single" w:sz="4" w:space="4" w:color="auto"/>
          <w:bottom w:val="single" w:sz="4" w:space="1" w:color="auto"/>
          <w:right w:val="single" w:sz="4" w:space="4" w:color="auto"/>
        </w:pBdr>
        <w:ind w:left="540" w:hanging="540"/>
        <w:outlineLvl w:val="0"/>
        <w:rPr>
          <w:b/>
          <w:highlight w:val="lightGray"/>
        </w:rPr>
      </w:pPr>
      <w:r w:rsidRPr="00A913BF">
        <w:rPr>
          <w:b/>
          <w:szCs w:val="22"/>
        </w:rPr>
        <w:t>5.</w:t>
      </w:r>
      <w:r w:rsidRPr="00A913BF">
        <w:rPr>
          <w:b/>
          <w:szCs w:val="22"/>
        </w:rPr>
        <w:tab/>
        <w:t>KITA</w:t>
      </w:r>
    </w:p>
    <w:p w14:paraId="5B1DD9FE" w14:textId="77777777" w:rsidR="00912BDF" w:rsidRPr="00A913BF" w:rsidRDefault="00912BDF" w:rsidP="00912BDF">
      <w:pPr>
        <w:rPr>
          <w:szCs w:val="22"/>
        </w:rPr>
      </w:pPr>
    </w:p>
    <w:p w14:paraId="2340BC6B" w14:textId="77777777" w:rsidR="00912BDF" w:rsidRPr="00A913BF" w:rsidRDefault="00912BDF" w:rsidP="00912BDF">
      <w:pPr>
        <w:pStyle w:val="Komentarotekstas"/>
        <w:rPr>
          <w:sz w:val="22"/>
          <w:szCs w:val="22"/>
        </w:rPr>
      </w:pPr>
      <w:r w:rsidRPr="00A913BF">
        <w:rPr>
          <w:sz w:val="22"/>
          <w:szCs w:val="22"/>
        </w:rPr>
        <w:t xml:space="preserve"> P. A. T. K. Pn. Š. S.</w:t>
      </w:r>
    </w:p>
    <w:p w14:paraId="058911DE" w14:textId="77777777" w:rsidR="00912BDF" w:rsidRPr="00A913BF" w:rsidRDefault="00912BDF" w:rsidP="00912BDF">
      <w:pPr>
        <w:rPr>
          <w:szCs w:val="22"/>
        </w:rPr>
      </w:pPr>
    </w:p>
    <w:p w14:paraId="767F1F94" w14:textId="77777777" w:rsidR="00912BDF" w:rsidRPr="00A913BF" w:rsidRDefault="00912BDF" w:rsidP="00912BDF">
      <w:pPr>
        <w:rPr>
          <w:szCs w:val="22"/>
        </w:rPr>
      </w:pPr>
    </w:p>
    <w:p w14:paraId="05EB57DF" w14:textId="77777777" w:rsidR="00912BDF" w:rsidRPr="00A913BF" w:rsidRDefault="00912BDF" w:rsidP="00912BDF">
      <w:pPr>
        <w:ind w:right="113"/>
        <w:jc w:val="center"/>
        <w:rPr>
          <w:szCs w:val="22"/>
        </w:rPr>
      </w:pPr>
      <w:r w:rsidRPr="00A913BF">
        <w:rPr>
          <w:b/>
          <w:szCs w:val="22"/>
          <w:u w:val="single"/>
        </w:rPr>
        <w:br w:type="page"/>
      </w:r>
    </w:p>
    <w:p w14:paraId="3096B717" w14:textId="77777777" w:rsidR="00912BDF" w:rsidRPr="00A913BF" w:rsidRDefault="00912BDF" w:rsidP="00912BDF">
      <w:pPr>
        <w:jc w:val="center"/>
        <w:rPr>
          <w:szCs w:val="22"/>
        </w:rPr>
      </w:pPr>
    </w:p>
    <w:p w14:paraId="20FAC639" w14:textId="77777777" w:rsidR="00912BDF" w:rsidRPr="00A913BF" w:rsidRDefault="00912BDF" w:rsidP="00912BDF">
      <w:pPr>
        <w:jc w:val="center"/>
        <w:rPr>
          <w:szCs w:val="22"/>
        </w:rPr>
      </w:pPr>
    </w:p>
    <w:p w14:paraId="4F933C84" w14:textId="77777777" w:rsidR="00912BDF" w:rsidRPr="00A913BF" w:rsidRDefault="00912BDF" w:rsidP="00912BDF">
      <w:pPr>
        <w:jc w:val="center"/>
        <w:rPr>
          <w:szCs w:val="22"/>
        </w:rPr>
      </w:pPr>
    </w:p>
    <w:p w14:paraId="5E857C8D" w14:textId="77777777" w:rsidR="00912BDF" w:rsidRPr="00A913BF" w:rsidRDefault="00912BDF" w:rsidP="00912BDF">
      <w:pPr>
        <w:jc w:val="center"/>
        <w:rPr>
          <w:szCs w:val="22"/>
        </w:rPr>
      </w:pPr>
    </w:p>
    <w:p w14:paraId="42081CF1" w14:textId="77777777" w:rsidR="00912BDF" w:rsidRPr="00A913BF" w:rsidRDefault="00912BDF" w:rsidP="00912BDF">
      <w:pPr>
        <w:jc w:val="center"/>
        <w:rPr>
          <w:szCs w:val="22"/>
        </w:rPr>
      </w:pPr>
    </w:p>
    <w:p w14:paraId="4C4B1CB9" w14:textId="77777777" w:rsidR="00912BDF" w:rsidRPr="00A913BF" w:rsidRDefault="00912BDF" w:rsidP="00912BDF">
      <w:pPr>
        <w:jc w:val="center"/>
        <w:rPr>
          <w:szCs w:val="22"/>
        </w:rPr>
      </w:pPr>
    </w:p>
    <w:p w14:paraId="7899B082" w14:textId="77777777" w:rsidR="00912BDF" w:rsidRPr="00A913BF" w:rsidRDefault="00912BDF" w:rsidP="00912BDF">
      <w:pPr>
        <w:jc w:val="center"/>
        <w:rPr>
          <w:szCs w:val="22"/>
        </w:rPr>
      </w:pPr>
    </w:p>
    <w:p w14:paraId="3B155A1F" w14:textId="77777777" w:rsidR="00912BDF" w:rsidRPr="00A913BF" w:rsidRDefault="00912BDF" w:rsidP="00912BDF">
      <w:pPr>
        <w:jc w:val="center"/>
        <w:rPr>
          <w:szCs w:val="22"/>
        </w:rPr>
      </w:pPr>
    </w:p>
    <w:p w14:paraId="3D2F2A82" w14:textId="77777777" w:rsidR="00912BDF" w:rsidRPr="00A913BF" w:rsidRDefault="00912BDF" w:rsidP="00912BDF">
      <w:pPr>
        <w:jc w:val="center"/>
        <w:rPr>
          <w:szCs w:val="22"/>
        </w:rPr>
      </w:pPr>
    </w:p>
    <w:p w14:paraId="557E8F7F" w14:textId="77777777" w:rsidR="00912BDF" w:rsidRPr="00A913BF" w:rsidRDefault="00912BDF" w:rsidP="00912BDF">
      <w:pPr>
        <w:jc w:val="center"/>
        <w:rPr>
          <w:szCs w:val="22"/>
        </w:rPr>
      </w:pPr>
    </w:p>
    <w:p w14:paraId="7353E5E8" w14:textId="77777777" w:rsidR="00912BDF" w:rsidRPr="00A913BF" w:rsidRDefault="00912BDF" w:rsidP="00912BDF">
      <w:pPr>
        <w:jc w:val="center"/>
        <w:rPr>
          <w:szCs w:val="22"/>
        </w:rPr>
      </w:pPr>
    </w:p>
    <w:p w14:paraId="74A7EF43" w14:textId="77777777" w:rsidR="00912BDF" w:rsidRPr="00A913BF" w:rsidRDefault="00912BDF" w:rsidP="00912BDF">
      <w:pPr>
        <w:jc w:val="center"/>
        <w:rPr>
          <w:szCs w:val="22"/>
        </w:rPr>
      </w:pPr>
    </w:p>
    <w:p w14:paraId="6992D273" w14:textId="77777777" w:rsidR="00912BDF" w:rsidRPr="00A913BF" w:rsidRDefault="00912BDF" w:rsidP="00912BDF">
      <w:pPr>
        <w:jc w:val="center"/>
        <w:rPr>
          <w:szCs w:val="22"/>
        </w:rPr>
      </w:pPr>
    </w:p>
    <w:p w14:paraId="40A08262" w14:textId="77777777" w:rsidR="00912BDF" w:rsidRPr="00A913BF" w:rsidRDefault="00912BDF" w:rsidP="00912BDF">
      <w:pPr>
        <w:jc w:val="center"/>
        <w:rPr>
          <w:szCs w:val="22"/>
        </w:rPr>
      </w:pPr>
    </w:p>
    <w:p w14:paraId="68B6C610" w14:textId="77777777" w:rsidR="00912BDF" w:rsidRPr="00A913BF" w:rsidRDefault="00912BDF" w:rsidP="00912BDF">
      <w:pPr>
        <w:jc w:val="center"/>
        <w:rPr>
          <w:szCs w:val="22"/>
        </w:rPr>
      </w:pPr>
    </w:p>
    <w:p w14:paraId="46D93332" w14:textId="77777777" w:rsidR="00912BDF" w:rsidRPr="00A913BF" w:rsidRDefault="00912BDF" w:rsidP="00912BDF">
      <w:pPr>
        <w:jc w:val="center"/>
        <w:rPr>
          <w:szCs w:val="22"/>
        </w:rPr>
      </w:pPr>
    </w:p>
    <w:p w14:paraId="158DE7C6" w14:textId="77777777" w:rsidR="00912BDF" w:rsidRPr="00A913BF" w:rsidRDefault="00912BDF" w:rsidP="00912BDF">
      <w:pPr>
        <w:jc w:val="center"/>
        <w:rPr>
          <w:szCs w:val="22"/>
        </w:rPr>
      </w:pPr>
    </w:p>
    <w:p w14:paraId="00014BE9" w14:textId="77777777" w:rsidR="00912BDF" w:rsidRPr="00A913BF" w:rsidRDefault="00912BDF" w:rsidP="00912BDF">
      <w:pPr>
        <w:jc w:val="center"/>
        <w:rPr>
          <w:szCs w:val="22"/>
        </w:rPr>
      </w:pPr>
    </w:p>
    <w:p w14:paraId="4CC9C6DE" w14:textId="77777777" w:rsidR="00912BDF" w:rsidRPr="00A913BF" w:rsidRDefault="00912BDF" w:rsidP="00912BDF">
      <w:pPr>
        <w:jc w:val="center"/>
        <w:rPr>
          <w:szCs w:val="22"/>
        </w:rPr>
      </w:pPr>
    </w:p>
    <w:p w14:paraId="73DF0658" w14:textId="77777777" w:rsidR="00912BDF" w:rsidRPr="00A913BF" w:rsidRDefault="00912BDF" w:rsidP="00912BDF">
      <w:pPr>
        <w:jc w:val="center"/>
        <w:rPr>
          <w:szCs w:val="22"/>
        </w:rPr>
      </w:pPr>
    </w:p>
    <w:p w14:paraId="4E03418C" w14:textId="77777777" w:rsidR="00912BDF" w:rsidRPr="00A913BF" w:rsidRDefault="00912BDF" w:rsidP="00912BDF">
      <w:pPr>
        <w:jc w:val="center"/>
        <w:rPr>
          <w:szCs w:val="22"/>
        </w:rPr>
      </w:pPr>
    </w:p>
    <w:p w14:paraId="6DF68122" w14:textId="77777777" w:rsidR="00912BDF" w:rsidRPr="00A913BF" w:rsidRDefault="00912BDF" w:rsidP="00912BDF">
      <w:pPr>
        <w:jc w:val="center"/>
        <w:rPr>
          <w:szCs w:val="22"/>
        </w:rPr>
      </w:pPr>
    </w:p>
    <w:p w14:paraId="24C4D70F" w14:textId="77777777" w:rsidR="00912BDF" w:rsidRPr="00912BDF" w:rsidRDefault="00912BDF" w:rsidP="00912BDF">
      <w:pPr>
        <w:jc w:val="center"/>
        <w:rPr>
          <w:bCs/>
          <w:szCs w:val="22"/>
        </w:rPr>
      </w:pPr>
      <w:r w:rsidRPr="00912BDF">
        <w:rPr>
          <w:rStyle w:val="Antrat1Diagrama"/>
          <w:bCs/>
          <w:sz w:val="22"/>
          <w:szCs w:val="22"/>
        </w:rPr>
        <w:t>B. PAKUOTĖS</w:t>
      </w:r>
      <w:r w:rsidRPr="00912BDF">
        <w:rPr>
          <w:bCs/>
          <w:szCs w:val="22"/>
        </w:rPr>
        <w:t xml:space="preserve"> </w:t>
      </w:r>
      <w:r w:rsidRPr="00912BDF">
        <w:rPr>
          <w:b/>
          <w:szCs w:val="22"/>
        </w:rPr>
        <w:t>LAPELIS</w:t>
      </w:r>
    </w:p>
    <w:p w14:paraId="2E7B2EE5" w14:textId="77777777" w:rsidR="00912BDF" w:rsidRPr="00A913BF" w:rsidRDefault="00912BDF" w:rsidP="00912BDF">
      <w:pPr>
        <w:jc w:val="center"/>
        <w:outlineLvl w:val="0"/>
        <w:rPr>
          <w:b/>
          <w:szCs w:val="22"/>
        </w:rPr>
      </w:pPr>
      <w:r w:rsidRPr="00A913BF">
        <w:rPr>
          <w:b/>
          <w:szCs w:val="22"/>
        </w:rPr>
        <w:br w:type="page"/>
      </w:r>
      <w:r w:rsidRPr="00A913BF">
        <w:rPr>
          <w:b/>
          <w:szCs w:val="22"/>
        </w:rPr>
        <w:lastRenderedPageBreak/>
        <w:t>Pakuotės lapelis: informacija pacientui</w:t>
      </w:r>
    </w:p>
    <w:p w14:paraId="46C2D5DE" w14:textId="77777777" w:rsidR="00912BDF" w:rsidRPr="00A913BF" w:rsidRDefault="00912BDF" w:rsidP="00912BDF">
      <w:pPr>
        <w:jc w:val="center"/>
        <w:rPr>
          <w:szCs w:val="22"/>
        </w:rPr>
      </w:pPr>
    </w:p>
    <w:p w14:paraId="3B9374D9" w14:textId="77777777" w:rsidR="00912BDF" w:rsidRPr="00A913BF" w:rsidRDefault="00912BDF" w:rsidP="00912BDF">
      <w:pPr>
        <w:autoSpaceDE w:val="0"/>
        <w:autoSpaceDN w:val="0"/>
        <w:adjustRightInd w:val="0"/>
        <w:jc w:val="center"/>
        <w:rPr>
          <w:b/>
          <w:szCs w:val="22"/>
          <w:lang w:eastAsia="lt-LT"/>
        </w:rPr>
      </w:pPr>
      <w:r w:rsidRPr="00A913BF">
        <w:rPr>
          <w:b/>
          <w:szCs w:val="22"/>
          <w:lang w:eastAsia="lt-LT"/>
        </w:rPr>
        <w:t>Atacand 4 mg tabletės</w:t>
      </w:r>
    </w:p>
    <w:p w14:paraId="22F68273" w14:textId="77777777" w:rsidR="00912BDF" w:rsidRPr="00C45350" w:rsidRDefault="00912BDF" w:rsidP="00912BDF">
      <w:pPr>
        <w:autoSpaceDE w:val="0"/>
        <w:autoSpaceDN w:val="0"/>
        <w:adjustRightInd w:val="0"/>
        <w:jc w:val="center"/>
        <w:rPr>
          <w:b/>
          <w:highlight w:val="lightGray"/>
        </w:rPr>
      </w:pPr>
      <w:r w:rsidRPr="00C45350">
        <w:rPr>
          <w:b/>
          <w:highlight w:val="lightGray"/>
        </w:rPr>
        <w:t>Atacand 8 mg tabletės</w:t>
      </w:r>
    </w:p>
    <w:p w14:paraId="65F7328B" w14:textId="77777777" w:rsidR="00912BDF" w:rsidRPr="00C45350" w:rsidRDefault="00912BDF" w:rsidP="00912BDF">
      <w:pPr>
        <w:autoSpaceDE w:val="0"/>
        <w:autoSpaceDN w:val="0"/>
        <w:adjustRightInd w:val="0"/>
        <w:jc w:val="center"/>
        <w:rPr>
          <w:b/>
          <w:highlight w:val="lightGray"/>
        </w:rPr>
      </w:pPr>
      <w:r w:rsidRPr="00C45350">
        <w:rPr>
          <w:b/>
          <w:highlight w:val="lightGray"/>
        </w:rPr>
        <w:t>Atacand 16 mg tabletės</w:t>
      </w:r>
    </w:p>
    <w:p w14:paraId="575AE43F" w14:textId="77777777" w:rsidR="00912BDF" w:rsidRPr="00A913BF" w:rsidRDefault="00912BDF" w:rsidP="00912BDF">
      <w:pPr>
        <w:numPr>
          <w:ilvl w:val="12"/>
          <w:numId w:val="0"/>
        </w:numPr>
        <w:jc w:val="center"/>
        <w:rPr>
          <w:b/>
          <w:bCs/>
          <w:szCs w:val="22"/>
        </w:rPr>
      </w:pPr>
      <w:r w:rsidRPr="00C45350">
        <w:rPr>
          <w:b/>
          <w:highlight w:val="lightGray"/>
        </w:rPr>
        <w:t>Atacand 32 mg tabletės</w:t>
      </w:r>
    </w:p>
    <w:p w14:paraId="54F3385A" w14:textId="77777777" w:rsidR="00912BDF" w:rsidRPr="00A913BF" w:rsidRDefault="00912BDF" w:rsidP="00912BDF">
      <w:pPr>
        <w:numPr>
          <w:ilvl w:val="12"/>
          <w:numId w:val="0"/>
        </w:numPr>
        <w:rPr>
          <w:szCs w:val="22"/>
        </w:rPr>
      </w:pPr>
    </w:p>
    <w:p w14:paraId="11C5AB04" w14:textId="77777777" w:rsidR="00912BDF" w:rsidRPr="00A913BF" w:rsidRDefault="00912BDF" w:rsidP="00912BDF">
      <w:pPr>
        <w:numPr>
          <w:ilvl w:val="12"/>
          <w:numId w:val="0"/>
        </w:numPr>
        <w:jc w:val="center"/>
        <w:rPr>
          <w:szCs w:val="22"/>
        </w:rPr>
      </w:pPr>
      <w:r w:rsidRPr="00A913BF">
        <w:rPr>
          <w:szCs w:val="22"/>
        </w:rPr>
        <w:t>Kandesartano cileksetilas</w:t>
      </w:r>
    </w:p>
    <w:p w14:paraId="673E7585" w14:textId="77777777" w:rsidR="00912BDF" w:rsidRPr="00A913BF" w:rsidRDefault="00912BDF" w:rsidP="00912BDF">
      <w:pPr>
        <w:jc w:val="center"/>
        <w:rPr>
          <w:szCs w:val="22"/>
        </w:rPr>
      </w:pPr>
    </w:p>
    <w:p w14:paraId="622F4A94" w14:textId="77777777" w:rsidR="00912BDF" w:rsidRPr="00A913BF" w:rsidRDefault="00912BDF" w:rsidP="00912BDF">
      <w:pPr>
        <w:rPr>
          <w:b/>
          <w:bCs/>
          <w:szCs w:val="22"/>
        </w:rPr>
      </w:pPr>
      <w:r w:rsidRPr="00A913BF">
        <w:rPr>
          <w:b/>
          <w:bCs/>
          <w:szCs w:val="22"/>
        </w:rPr>
        <w:t>Atidžiai perskaitykite visą šį lapelį, prieš pradėdami vartoti vaistą, nes jame pateikiama Jums svarbi informacija.</w:t>
      </w:r>
    </w:p>
    <w:p w14:paraId="4B4CF2BF" w14:textId="77777777" w:rsidR="00912BDF" w:rsidRPr="00A913BF" w:rsidRDefault="00912BDF" w:rsidP="00912BDF">
      <w:pPr>
        <w:numPr>
          <w:ilvl w:val="0"/>
          <w:numId w:val="11"/>
        </w:numPr>
        <w:rPr>
          <w:szCs w:val="22"/>
        </w:rPr>
      </w:pPr>
      <w:r w:rsidRPr="00A913BF">
        <w:rPr>
          <w:szCs w:val="22"/>
        </w:rPr>
        <w:t>Neišmeskite šio lapelio, nes vėl gali prireikti jį perskaityti.</w:t>
      </w:r>
    </w:p>
    <w:p w14:paraId="62096133" w14:textId="77777777" w:rsidR="00912BDF" w:rsidRPr="00A913BF" w:rsidRDefault="00912BDF" w:rsidP="00912BDF">
      <w:pPr>
        <w:numPr>
          <w:ilvl w:val="0"/>
          <w:numId w:val="11"/>
        </w:numPr>
        <w:rPr>
          <w:szCs w:val="22"/>
        </w:rPr>
      </w:pPr>
      <w:r w:rsidRPr="00A913BF">
        <w:rPr>
          <w:szCs w:val="22"/>
        </w:rPr>
        <w:t>Jeigu kiltų daugiau klausimų, kreipkitės į gydytoją arba vaistininką.</w:t>
      </w:r>
    </w:p>
    <w:p w14:paraId="1CE2DD3D" w14:textId="77777777" w:rsidR="00912BDF" w:rsidRPr="00A913BF" w:rsidRDefault="00912BDF" w:rsidP="00912BDF">
      <w:pPr>
        <w:numPr>
          <w:ilvl w:val="0"/>
          <w:numId w:val="11"/>
        </w:numPr>
        <w:rPr>
          <w:szCs w:val="22"/>
        </w:rPr>
      </w:pPr>
      <w:r w:rsidRPr="00A913BF">
        <w:rPr>
          <w:szCs w:val="22"/>
        </w:rPr>
        <w:t>Šis vaistas skirtas tik Jums, todėl kitiems žmonėms jo duoti negalima. Vaistas gali jiems pakenkti (net tiems, kurių ligos požymiai yra tokie patys kaip Jūsų).</w:t>
      </w:r>
    </w:p>
    <w:p w14:paraId="464E1C5D" w14:textId="77777777" w:rsidR="00912BDF" w:rsidRPr="00A913BF" w:rsidRDefault="00912BDF" w:rsidP="00912BDF">
      <w:pPr>
        <w:numPr>
          <w:ilvl w:val="0"/>
          <w:numId w:val="11"/>
        </w:numPr>
        <w:rPr>
          <w:szCs w:val="22"/>
        </w:rPr>
      </w:pPr>
      <w:r w:rsidRPr="00A913BF">
        <w:rPr>
          <w:szCs w:val="22"/>
        </w:rPr>
        <w:t>Jeigu pasireiškė šalutinis poveikis (net jeigu jis šiame lapelyje nenurodytas), kreipkitės į gydytoją arba vaistininką. Žr. 4 skyrių.</w:t>
      </w:r>
    </w:p>
    <w:p w14:paraId="3DA30642" w14:textId="77777777" w:rsidR="00912BDF" w:rsidRPr="00A913BF" w:rsidRDefault="00912BDF" w:rsidP="00912BDF">
      <w:pPr>
        <w:rPr>
          <w:szCs w:val="22"/>
        </w:rPr>
      </w:pPr>
    </w:p>
    <w:p w14:paraId="3233F016" w14:textId="77777777" w:rsidR="00912BDF" w:rsidRPr="00A913BF" w:rsidRDefault="00912BDF" w:rsidP="00912BDF">
      <w:pPr>
        <w:rPr>
          <w:b/>
          <w:szCs w:val="22"/>
        </w:rPr>
      </w:pPr>
      <w:r w:rsidRPr="00A913BF">
        <w:rPr>
          <w:b/>
          <w:szCs w:val="22"/>
        </w:rPr>
        <w:t>Apie ką rašoma šiame lapelyje?</w:t>
      </w:r>
    </w:p>
    <w:p w14:paraId="0D8E5B3B" w14:textId="77777777" w:rsidR="00912BDF" w:rsidRPr="00A913BF" w:rsidRDefault="00912BDF" w:rsidP="00912BDF">
      <w:pPr>
        <w:numPr>
          <w:ilvl w:val="1"/>
          <w:numId w:val="11"/>
        </w:numPr>
        <w:rPr>
          <w:szCs w:val="22"/>
        </w:rPr>
      </w:pPr>
      <w:r w:rsidRPr="00A913BF">
        <w:rPr>
          <w:szCs w:val="22"/>
        </w:rPr>
        <w:t>Kas yra Atacand ir kam jis vartojamas</w:t>
      </w:r>
    </w:p>
    <w:p w14:paraId="294E94BE" w14:textId="77777777" w:rsidR="00912BDF" w:rsidRPr="00A913BF" w:rsidRDefault="00912BDF" w:rsidP="00912BDF">
      <w:pPr>
        <w:numPr>
          <w:ilvl w:val="1"/>
          <w:numId w:val="11"/>
        </w:numPr>
        <w:rPr>
          <w:szCs w:val="22"/>
        </w:rPr>
      </w:pPr>
      <w:r w:rsidRPr="00A913BF">
        <w:rPr>
          <w:szCs w:val="22"/>
        </w:rPr>
        <w:t>Kas žinotina prieš vartojant Atacand</w:t>
      </w:r>
    </w:p>
    <w:p w14:paraId="46ACFA3D" w14:textId="77777777" w:rsidR="00912BDF" w:rsidRPr="00A913BF" w:rsidRDefault="00912BDF" w:rsidP="00912BDF">
      <w:pPr>
        <w:numPr>
          <w:ilvl w:val="1"/>
          <w:numId w:val="11"/>
        </w:numPr>
        <w:rPr>
          <w:szCs w:val="22"/>
        </w:rPr>
      </w:pPr>
      <w:r w:rsidRPr="00A913BF">
        <w:rPr>
          <w:szCs w:val="22"/>
        </w:rPr>
        <w:t>Kaip vartoti Atacand</w:t>
      </w:r>
    </w:p>
    <w:p w14:paraId="7508DF5B" w14:textId="77777777" w:rsidR="00912BDF" w:rsidRPr="00A913BF" w:rsidRDefault="00912BDF" w:rsidP="00912BDF">
      <w:pPr>
        <w:numPr>
          <w:ilvl w:val="1"/>
          <w:numId w:val="11"/>
        </w:numPr>
        <w:rPr>
          <w:szCs w:val="22"/>
        </w:rPr>
      </w:pPr>
      <w:r w:rsidRPr="00A913BF">
        <w:rPr>
          <w:szCs w:val="22"/>
        </w:rPr>
        <w:t>Galimas šalutinis poveikis</w:t>
      </w:r>
    </w:p>
    <w:p w14:paraId="706DA728" w14:textId="77777777" w:rsidR="00912BDF" w:rsidRPr="00A913BF" w:rsidRDefault="00912BDF" w:rsidP="00912BDF">
      <w:pPr>
        <w:numPr>
          <w:ilvl w:val="1"/>
          <w:numId w:val="11"/>
        </w:numPr>
        <w:rPr>
          <w:szCs w:val="22"/>
        </w:rPr>
      </w:pPr>
      <w:r w:rsidRPr="00A913BF">
        <w:rPr>
          <w:szCs w:val="22"/>
        </w:rPr>
        <w:t>Kaip laikyti Atacand</w:t>
      </w:r>
    </w:p>
    <w:p w14:paraId="39B2A889" w14:textId="77777777" w:rsidR="00912BDF" w:rsidRPr="00A913BF" w:rsidRDefault="00912BDF" w:rsidP="00912BDF">
      <w:pPr>
        <w:numPr>
          <w:ilvl w:val="1"/>
          <w:numId w:val="11"/>
        </w:numPr>
        <w:rPr>
          <w:szCs w:val="22"/>
        </w:rPr>
      </w:pPr>
      <w:r w:rsidRPr="00A913BF">
        <w:rPr>
          <w:szCs w:val="22"/>
        </w:rPr>
        <w:t>Pakuotės turinys ir kita informacija</w:t>
      </w:r>
    </w:p>
    <w:p w14:paraId="15F8651E" w14:textId="77777777" w:rsidR="00912BDF" w:rsidRPr="00A913BF" w:rsidRDefault="00912BDF" w:rsidP="00912BDF">
      <w:pPr>
        <w:numPr>
          <w:ilvl w:val="12"/>
          <w:numId w:val="0"/>
        </w:numPr>
        <w:ind w:right="-2"/>
        <w:outlineLvl w:val="0"/>
        <w:rPr>
          <w:b/>
          <w:szCs w:val="22"/>
        </w:rPr>
      </w:pPr>
    </w:p>
    <w:p w14:paraId="754BDF1A" w14:textId="77777777" w:rsidR="00912BDF" w:rsidRPr="00A913BF" w:rsidRDefault="00912BDF" w:rsidP="00912BDF">
      <w:pPr>
        <w:numPr>
          <w:ilvl w:val="12"/>
          <w:numId w:val="0"/>
        </w:numPr>
        <w:rPr>
          <w:szCs w:val="22"/>
        </w:rPr>
      </w:pPr>
    </w:p>
    <w:p w14:paraId="7ABAD2EA" w14:textId="77777777" w:rsidR="00912BDF" w:rsidRPr="00A913BF" w:rsidRDefault="00912BDF" w:rsidP="00912BDF">
      <w:pPr>
        <w:numPr>
          <w:ilvl w:val="12"/>
          <w:numId w:val="0"/>
        </w:numPr>
        <w:ind w:left="567" w:hanging="567"/>
        <w:outlineLvl w:val="0"/>
        <w:rPr>
          <w:b/>
          <w:caps/>
          <w:szCs w:val="22"/>
        </w:rPr>
      </w:pPr>
      <w:r w:rsidRPr="00A913BF">
        <w:rPr>
          <w:b/>
          <w:szCs w:val="22"/>
        </w:rPr>
        <w:t>1.</w:t>
      </w:r>
      <w:r w:rsidRPr="00A913BF">
        <w:rPr>
          <w:b/>
          <w:szCs w:val="22"/>
        </w:rPr>
        <w:tab/>
        <w:t>Kas yra Atacand ir kam jis vartojamas</w:t>
      </w:r>
    </w:p>
    <w:p w14:paraId="6C3A5F8E" w14:textId="77777777" w:rsidR="00912BDF" w:rsidRPr="00A913BF" w:rsidRDefault="00912BDF" w:rsidP="00912BDF">
      <w:pPr>
        <w:ind w:left="567" w:hanging="567"/>
        <w:rPr>
          <w:szCs w:val="22"/>
        </w:rPr>
      </w:pPr>
    </w:p>
    <w:p w14:paraId="1670B0DE" w14:textId="77777777" w:rsidR="00912BDF" w:rsidRPr="00A913BF" w:rsidRDefault="00912BDF" w:rsidP="00912BDF">
      <w:pPr>
        <w:rPr>
          <w:szCs w:val="22"/>
        </w:rPr>
      </w:pPr>
      <w:r w:rsidRPr="00A913BF">
        <w:rPr>
          <w:szCs w:val="22"/>
        </w:rPr>
        <w:t xml:space="preserve">Atacand yra Jums skirto vaisto pavadinimas. Jo veiklioji medžiaga – kandesartano cileksetilas – priklauso vaistų, vadinamų angiotenzino-II receptorių blokatoriais, grupei. Atacand atpalaiduoja ir išplečia kraujagysles, taip padėdamas </w:t>
      </w:r>
      <w:r w:rsidRPr="00A913BF">
        <w:rPr>
          <w:szCs w:val="22"/>
        </w:rPr>
        <w:softHyphen/>
        <w:t>mažinti kraujospūdį. Be to, dėl jo poveikio širdžiai būna lengviau varinėti kraują organizme.</w:t>
      </w:r>
    </w:p>
    <w:p w14:paraId="7C3DE5DF" w14:textId="77777777" w:rsidR="00912BDF" w:rsidRPr="00A913BF" w:rsidRDefault="00912BDF" w:rsidP="00912BDF">
      <w:pPr>
        <w:rPr>
          <w:szCs w:val="22"/>
        </w:rPr>
      </w:pPr>
    </w:p>
    <w:p w14:paraId="6DA8A92D" w14:textId="77777777" w:rsidR="00912BDF" w:rsidRPr="00A913BF" w:rsidRDefault="00912BDF" w:rsidP="00912BDF">
      <w:pPr>
        <w:rPr>
          <w:szCs w:val="22"/>
        </w:rPr>
      </w:pPr>
      <w:r w:rsidRPr="00A913BF">
        <w:rPr>
          <w:szCs w:val="22"/>
        </w:rPr>
        <w:t>Atacand gali būti vartojamas:</w:t>
      </w:r>
    </w:p>
    <w:p w14:paraId="7A6F0547" w14:textId="77777777" w:rsidR="00912BDF" w:rsidRPr="00A913BF" w:rsidRDefault="00912BDF" w:rsidP="00912BDF">
      <w:pPr>
        <w:numPr>
          <w:ilvl w:val="0"/>
          <w:numId w:val="2"/>
        </w:numPr>
        <w:rPr>
          <w:szCs w:val="22"/>
        </w:rPr>
      </w:pPr>
      <w:r w:rsidRPr="00A913BF">
        <w:rPr>
          <w:szCs w:val="22"/>
        </w:rPr>
        <w:t>suaugusių pacientų bei vaikų ir paauglių nuo 6 iki 18 metų padidėjusio kraujospūdžio ligai (hipertenzijai) gydyti;</w:t>
      </w:r>
    </w:p>
    <w:p w14:paraId="102A5E38" w14:textId="77777777" w:rsidR="00912BDF" w:rsidRPr="00A913BF" w:rsidRDefault="00912BDF" w:rsidP="00912BDF">
      <w:pPr>
        <w:numPr>
          <w:ilvl w:val="0"/>
          <w:numId w:val="2"/>
        </w:numPr>
        <w:rPr>
          <w:szCs w:val="22"/>
        </w:rPr>
      </w:pPr>
      <w:r w:rsidRPr="00A913BF">
        <w:rPr>
          <w:szCs w:val="22"/>
        </w:rPr>
        <w:t>suaugusių pacientų, kurių širdies raumuo susilpnėjęs, širdies nepakankamumui gydyti, kai angiotenziną konvertuojančio fermento (AKF) inhibitorių vartoti negalima, arba kaip papildomas vaistas gydant AKF inhibitoriais, kai simptomai išlieka nepaisant gydymo ir negalima vartoti mineralokortikoidinių receptorių antagonistų (MRA). (AKF inhibitoriai ir MRA yra vaistai, vartojami širdies nepakankamumui gydyti).</w:t>
      </w:r>
    </w:p>
    <w:p w14:paraId="446D53B3" w14:textId="77777777" w:rsidR="00912BDF" w:rsidRPr="00A913BF" w:rsidRDefault="00912BDF" w:rsidP="00912BDF">
      <w:pPr>
        <w:numPr>
          <w:ilvl w:val="12"/>
          <w:numId w:val="0"/>
        </w:numPr>
        <w:rPr>
          <w:szCs w:val="22"/>
        </w:rPr>
      </w:pPr>
    </w:p>
    <w:p w14:paraId="3130CD33" w14:textId="77777777" w:rsidR="00912BDF" w:rsidRPr="00A913BF" w:rsidRDefault="00912BDF" w:rsidP="00912BDF">
      <w:pPr>
        <w:numPr>
          <w:ilvl w:val="12"/>
          <w:numId w:val="0"/>
        </w:numPr>
        <w:rPr>
          <w:szCs w:val="22"/>
        </w:rPr>
      </w:pPr>
    </w:p>
    <w:p w14:paraId="383CE8D5" w14:textId="77777777" w:rsidR="00912BDF" w:rsidRPr="00A913BF" w:rsidRDefault="00912BDF" w:rsidP="00912BDF">
      <w:pPr>
        <w:numPr>
          <w:ilvl w:val="12"/>
          <w:numId w:val="0"/>
        </w:numPr>
        <w:ind w:left="567" w:hanging="567"/>
        <w:outlineLvl w:val="0"/>
        <w:rPr>
          <w:b/>
          <w:caps/>
          <w:szCs w:val="22"/>
        </w:rPr>
      </w:pPr>
      <w:r w:rsidRPr="00A913BF">
        <w:rPr>
          <w:b/>
          <w:szCs w:val="22"/>
        </w:rPr>
        <w:t>2.</w:t>
      </w:r>
      <w:r w:rsidRPr="00A913BF">
        <w:rPr>
          <w:b/>
          <w:szCs w:val="22"/>
        </w:rPr>
        <w:tab/>
        <w:t>Kas žinotina prieš vartojant Atacand</w:t>
      </w:r>
    </w:p>
    <w:p w14:paraId="13BCFBEA" w14:textId="77777777" w:rsidR="00912BDF" w:rsidRPr="00A913BF" w:rsidRDefault="00912BDF" w:rsidP="00912BDF">
      <w:pPr>
        <w:ind w:left="567" w:hanging="567"/>
        <w:rPr>
          <w:szCs w:val="22"/>
        </w:rPr>
      </w:pPr>
    </w:p>
    <w:p w14:paraId="5418ECE4" w14:textId="77777777" w:rsidR="00912BDF" w:rsidRPr="00A913BF" w:rsidRDefault="00912BDF" w:rsidP="00912BDF">
      <w:pPr>
        <w:rPr>
          <w:b/>
          <w:bCs/>
          <w:szCs w:val="22"/>
        </w:rPr>
      </w:pPr>
      <w:r w:rsidRPr="00A913BF">
        <w:rPr>
          <w:b/>
          <w:bCs/>
          <w:szCs w:val="22"/>
        </w:rPr>
        <w:t>Atacand vartoti negalima:</w:t>
      </w:r>
    </w:p>
    <w:p w14:paraId="5B44B919" w14:textId="77777777" w:rsidR="00912BDF" w:rsidRPr="00A913BF" w:rsidRDefault="00912BDF" w:rsidP="00912BDF">
      <w:pPr>
        <w:numPr>
          <w:ilvl w:val="0"/>
          <w:numId w:val="4"/>
        </w:numPr>
        <w:rPr>
          <w:szCs w:val="22"/>
        </w:rPr>
      </w:pPr>
      <w:r w:rsidRPr="00A913BF">
        <w:rPr>
          <w:szCs w:val="22"/>
        </w:rPr>
        <w:t>jeigu yra alergija kandesartano cileksetilui arba bet kuriai pagalbinei šio vaisto medžiagai (jos išvardytos 6 skyriuje);</w:t>
      </w:r>
    </w:p>
    <w:p w14:paraId="767DDEDA" w14:textId="77777777" w:rsidR="00912BDF" w:rsidRPr="00A913BF" w:rsidRDefault="00912BDF" w:rsidP="00912BDF">
      <w:pPr>
        <w:numPr>
          <w:ilvl w:val="0"/>
          <w:numId w:val="3"/>
        </w:numPr>
        <w:rPr>
          <w:szCs w:val="22"/>
        </w:rPr>
      </w:pPr>
      <w:r w:rsidRPr="00A913BF">
        <w:rPr>
          <w:szCs w:val="22"/>
        </w:rPr>
        <w:t>moterims: jeigu ilgiau kaip 3 mėn. esate nėščia (tačiau ir nėštumo pradžioje Atacand geriau nevartoti, žr. skyrių „Nėštumas“);</w:t>
      </w:r>
    </w:p>
    <w:p w14:paraId="55DB4B2D" w14:textId="77777777" w:rsidR="00912BDF" w:rsidRPr="00A913BF" w:rsidRDefault="00912BDF" w:rsidP="00912BDF">
      <w:pPr>
        <w:numPr>
          <w:ilvl w:val="0"/>
          <w:numId w:val="3"/>
        </w:numPr>
        <w:rPr>
          <w:szCs w:val="22"/>
        </w:rPr>
      </w:pPr>
      <w:r w:rsidRPr="00A913BF">
        <w:rPr>
          <w:szCs w:val="22"/>
        </w:rPr>
        <w:t>jeigu sergate sunkia kepenų liga arba užsikimšę Jūsų tulžies latakai (tuomet sutrinka tulžies nutekėjimas iš pūslės);</w:t>
      </w:r>
    </w:p>
    <w:p w14:paraId="58DFF276" w14:textId="77777777" w:rsidR="00912BDF" w:rsidRPr="00A913BF" w:rsidRDefault="00912BDF" w:rsidP="00912BDF">
      <w:pPr>
        <w:numPr>
          <w:ilvl w:val="0"/>
          <w:numId w:val="3"/>
        </w:numPr>
        <w:rPr>
          <w:szCs w:val="22"/>
        </w:rPr>
      </w:pPr>
      <w:r w:rsidRPr="00A913BF">
        <w:rPr>
          <w:szCs w:val="22"/>
        </w:rPr>
        <w:t>jaunesniems kaip 1 metų vaikams.</w:t>
      </w:r>
    </w:p>
    <w:p w14:paraId="22656F09" w14:textId="77777777" w:rsidR="00912BDF" w:rsidRPr="00A913BF" w:rsidRDefault="00912BDF" w:rsidP="00912BDF">
      <w:pPr>
        <w:numPr>
          <w:ilvl w:val="0"/>
          <w:numId w:val="3"/>
        </w:numPr>
        <w:rPr>
          <w:szCs w:val="22"/>
        </w:rPr>
      </w:pPr>
      <w:r w:rsidRPr="00A913BF">
        <w:rPr>
          <w:szCs w:val="22"/>
        </w:rPr>
        <w:t>jeigu Jūs sergate cukriniu diabetu arba Jūsų inkstų veikla sutrikusi ir Jums skirtas kraujospūdį mažinantis vaistas, kurio sudėtyje yra aliskireno</w:t>
      </w:r>
      <w:r>
        <w:rPr>
          <w:szCs w:val="22"/>
        </w:rPr>
        <w:t>.</w:t>
      </w:r>
    </w:p>
    <w:p w14:paraId="286181C4" w14:textId="77777777" w:rsidR="00912BDF" w:rsidRPr="00A913BF" w:rsidRDefault="00912BDF" w:rsidP="00912BDF">
      <w:pPr>
        <w:rPr>
          <w:szCs w:val="22"/>
        </w:rPr>
      </w:pPr>
    </w:p>
    <w:p w14:paraId="3FBBF958" w14:textId="77777777" w:rsidR="00912BDF" w:rsidRPr="00A913BF" w:rsidRDefault="00912BDF" w:rsidP="00912BDF">
      <w:pPr>
        <w:rPr>
          <w:szCs w:val="22"/>
        </w:rPr>
      </w:pPr>
      <w:r w:rsidRPr="00A913BF">
        <w:rPr>
          <w:szCs w:val="22"/>
        </w:rPr>
        <w:lastRenderedPageBreak/>
        <w:t>Jeigu abejojate, ar neturite kurios nors iš aukščiau išvardytų problemų, apie tai pasakykite gydytojui arba vaistininkui, prieš pradė</w:t>
      </w:r>
      <w:r>
        <w:rPr>
          <w:szCs w:val="22"/>
        </w:rPr>
        <w:t>da</w:t>
      </w:r>
      <w:r w:rsidRPr="00A913BF">
        <w:rPr>
          <w:szCs w:val="22"/>
        </w:rPr>
        <w:t>mi vartoti Atacand.</w:t>
      </w:r>
    </w:p>
    <w:p w14:paraId="29598734" w14:textId="77777777" w:rsidR="00912BDF" w:rsidRPr="00A913BF" w:rsidRDefault="00912BDF" w:rsidP="00912BDF">
      <w:pPr>
        <w:rPr>
          <w:szCs w:val="22"/>
        </w:rPr>
      </w:pPr>
    </w:p>
    <w:p w14:paraId="6AA48E62" w14:textId="77777777" w:rsidR="00912BDF" w:rsidRPr="00A913BF" w:rsidRDefault="00912BDF" w:rsidP="00912BDF">
      <w:pPr>
        <w:rPr>
          <w:b/>
          <w:bCs/>
          <w:szCs w:val="22"/>
        </w:rPr>
      </w:pPr>
      <w:r w:rsidRPr="00A913BF">
        <w:rPr>
          <w:b/>
          <w:bCs/>
          <w:szCs w:val="22"/>
        </w:rPr>
        <w:t>Įspėjimai ir atsargumo priemonės</w:t>
      </w:r>
    </w:p>
    <w:p w14:paraId="45F74428" w14:textId="77777777" w:rsidR="00912BDF" w:rsidRPr="00A913BF" w:rsidRDefault="00912BDF" w:rsidP="00912BDF">
      <w:pPr>
        <w:rPr>
          <w:szCs w:val="22"/>
        </w:rPr>
      </w:pPr>
      <w:r w:rsidRPr="00A913BF">
        <w:rPr>
          <w:szCs w:val="22"/>
        </w:rPr>
        <w:t>Pasitarkite su gydytoju, prieš pradėdami vartoti Atacand:</w:t>
      </w:r>
    </w:p>
    <w:p w14:paraId="39FE845B" w14:textId="77777777" w:rsidR="00912BDF" w:rsidRPr="00A913BF" w:rsidRDefault="00912BDF" w:rsidP="00912BDF">
      <w:pPr>
        <w:numPr>
          <w:ilvl w:val="0"/>
          <w:numId w:val="4"/>
        </w:numPr>
        <w:rPr>
          <w:szCs w:val="22"/>
        </w:rPr>
      </w:pPr>
      <w:r w:rsidRPr="00A913BF">
        <w:rPr>
          <w:szCs w:val="22"/>
        </w:rPr>
        <w:t>jeigu nesveika Jūsų širdis, kepenys ar inkstai arba Jums atliekamos dializės;</w:t>
      </w:r>
    </w:p>
    <w:p w14:paraId="74285805" w14:textId="77777777" w:rsidR="00912BDF" w:rsidRPr="00A913BF" w:rsidRDefault="00912BDF" w:rsidP="00912BDF">
      <w:pPr>
        <w:numPr>
          <w:ilvl w:val="0"/>
          <w:numId w:val="4"/>
        </w:numPr>
        <w:rPr>
          <w:szCs w:val="22"/>
        </w:rPr>
      </w:pPr>
      <w:r w:rsidRPr="00A913BF">
        <w:rPr>
          <w:szCs w:val="22"/>
        </w:rPr>
        <w:t>jeigu neseniai Jums persodintas inkstas;</w:t>
      </w:r>
    </w:p>
    <w:p w14:paraId="4AC5A42A" w14:textId="77777777" w:rsidR="00912BDF" w:rsidRPr="00A913BF" w:rsidRDefault="00912BDF" w:rsidP="00912BDF">
      <w:pPr>
        <w:numPr>
          <w:ilvl w:val="0"/>
          <w:numId w:val="4"/>
        </w:numPr>
        <w:rPr>
          <w:szCs w:val="22"/>
        </w:rPr>
      </w:pPr>
      <w:r w:rsidRPr="00A913BF">
        <w:rPr>
          <w:szCs w:val="22"/>
        </w:rPr>
        <w:t>jeigu Jūs vemiate, neseniai daug vėmėte arba viduriuojate;</w:t>
      </w:r>
    </w:p>
    <w:p w14:paraId="1B37ABE9" w14:textId="77777777" w:rsidR="00912BDF" w:rsidRPr="00A913BF" w:rsidRDefault="00912BDF" w:rsidP="00912BDF">
      <w:pPr>
        <w:numPr>
          <w:ilvl w:val="0"/>
          <w:numId w:val="4"/>
        </w:numPr>
        <w:rPr>
          <w:szCs w:val="22"/>
        </w:rPr>
      </w:pPr>
      <w:r w:rsidRPr="00A913BF">
        <w:rPr>
          <w:szCs w:val="22"/>
        </w:rPr>
        <w:t>jeigu Jūs sergate antinksčių liga, vadinama Kono (</w:t>
      </w:r>
      <w:r w:rsidRPr="00A913BF">
        <w:rPr>
          <w:i/>
          <w:iCs/>
          <w:szCs w:val="22"/>
        </w:rPr>
        <w:t>Conn</w:t>
      </w:r>
      <w:r w:rsidRPr="00A913BF">
        <w:rPr>
          <w:szCs w:val="22"/>
        </w:rPr>
        <w:t>) sindromu (pirminiu hiperaldosteronizmu);</w:t>
      </w:r>
    </w:p>
    <w:p w14:paraId="41CADC84" w14:textId="77777777" w:rsidR="00912BDF" w:rsidRPr="00A913BF" w:rsidRDefault="00912BDF" w:rsidP="00912BDF">
      <w:pPr>
        <w:numPr>
          <w:ilvl w:val="0"/>
          <w:numId w:val="4"/>
        </w:numPr>
        <w:rPr>
          <w:szCs w:val="22"/>
        </w:rPr>
      </w:pPr>
      <w:r w:rsidRPr="00A913BF">
        <w:rPr>
          <w:szCs w:val="22"/>
        </w:rPr>
        <w:t>jeigu žemas Jūsų kraujospūdis;</w:t>
      </w:r>
    </w:p>
    <w:p w14:paraId="1E7A89C0" w14:textId="77777777" w:rsidR="00912BDF" w:rsidRPr="00A913BF" w:rsidRDefault="00912BDF" w:rsidP="00912BDF">
      <w:pPr>
        <w:numPr>
          <w:ilvl w:val="0"/>
          <w:numId w:val="4"/>
        </w:numPr>
        <w:rPr>
          <w:szCs w:val="22"/>
        </w:rPr>
      </w:pPr>
      <w:r w:rsidRPr="00A913BF">
        <w:rPr>
          <w:snapToGrid w:val="0"/>
          <w:szCs w:val="22"/>
        </w:rPr>
        <w:t>jeigu kada nors Jus buvo ištikęs insultas;</w:t>
      </w:r>
    </w:p>
    <w:p w14:paraId="5E033D66" w14:textId="77777777" w:rsidR="00912BDF" w:rsidRPr="00A913BF" w:rsidRDefault="00912BDF" w:rsidP="00912BDF">
      <w:pPr>
        <w:numPr>
          <w:ilvl w:val="0"/>
          <w:numId w:val="4"/>
        </w:numPr>
        <w:rPr>
          <w:szCs w:val="22"/>
        </w:rPr>
      </w:pPr>
      <w:r w:rsidRPr="00A913BF">
        <w:rPr>
          <w:snapToGrid w:val="0"/>
          <w:szCs w:val="22"/>
        </w:rPr>
        <w:t>moterims: būtinai pasakykite gydytojui, jeigu įtariate pastojusi arba galite pastoti.</w:t>
      </w:r>
      <w:r w:rsidRPr="00A913BF">
        <w:rPr>
          <w:szCs w:val="22"/>
        </w:rPr>
        <w:t xml:space="preserve"> Nėštumo pradžioje Atacand vartoti nerekomenduojama, o jei esate nėščia ilgiau kaip 3 mėn. – negalima (šis vaistas, vartojamas tuo metu, gali labai pakenkti būsimam kūdikiui, žr. poskyrį „Nėštumas“)</w:t>
      </w:r>
      <w:r>
        <w:rPr>
          <w:snapToGrid w:val="0"/>
          <w:szCs w:val="22"/>
        </w:rPr>
        <w:t>;</w:t>
      </w:r>
    </w:p>
    <w:p w14:paraId="3D576A2A" w14:textId="77777777" w:rsidR="00912BDF" w:rsidRPr="00A913BF" w:rsidRDefault="00912BDF" w:rsidP="00912BDF">
      <w:pPr>
        <w:numPr>
          <w:ilvl w:val="0"/>
          <w:numId w:val="4"/>
        </w:numPr>
        <w:rPr>
          <w:rFonts w:eastAsia="Batang"/>
          <w:szCs w:val="22"/>
        </w:rPr>
      </w:pPr>
      <w:r w:rsidRPr="00A913BF">
        <w:rPr>
          <w:rFonts w:eastAsia="Batang"/>
          <w:szCs w:val="22"/>
        </w:rPr>
        <w:t>jeigu vartojate kurį nors iš šių vaistų padidėjusiam kraujospūdžiui gydyti:</w:t>
      </w:r>
    </w:p>
    <w:p w14:paraId="5D90AD9D" w14:textId="77777777" w:rsidR="00912BDF" w:rsidRPr="00A913BF" w:rsidRDefault="00912BDF" w:rsidP="00912BDF">
      <w:pPr>
        <w:ind w:left="720"/>
        <w:rPr>
          <w:rFonts w:eastAsia="Batang"/>
          <w:szCs w:val="22"/>
        </w:rPr>
      </w:pPr>
      <w:r w:rsidRPr="00A913BF">
        <w:rPr>
          <w:rFonts w:eastAsia="Batang"/>
          <w:szCs w:val="22"/>
        </w:rPr>
        <w:t>- AKF inhibitorių (pavyzdžiui, enalaprilį, lizinoprilį, ramiprilį), ypač jei turite su diabetu susijusių inkstų sutrikimų;</w:t>
      </w:r>
    </w:p>
    <w:p w14:paraId="12615081" w14:textId="77777777" w:rsidR="00912BDF" w:rsidRPr="00A913BF" w:rsidRDefault="00912BDF" w:rsidP="00912BDF">
      <w:pPr>
        <w:ind w:left="720"/>
        <w:rPr>
          <w:rFonts w:eastAsia="Batang"/>
          <w:szCs w:val="22"/>
        </w:rPr>
      </w:pPr>
      <w:r w:rsidRPr="00A913BF">
        <w:rPr>
          <w:rFonts w:eastAsia="Batang"/>
          <w:szCs w:val="22"/>
        </w:rPr>
        <w:t>- aliskireną</w:t>
      </w:r>
      <w:r>
        <w:rPr>
          <w:rFonts w:eastAsia="Batang"/>
          <w:szCs w:val="22"/>
        </w:rPr>
        <w:t>;</w:t>
      </w:r>
    </w:p>
    <w:p w14:paraId="3A5A30FE" w14:textId="77777777" w:rsidR="00912BDF" w:rsidRPr="00A913BF" w:rsidRDefault="00912BDF" w:rsidP="00912BDF">
      <w:pPr>
        <w:numPr>
          <w:ilvl w:val="0"/>
          <w:numId w:val="4"/>
        </w:numPr>
        <w:rPr>
          <w:rFonts w:eastAsia="Batang"/>
          <w:szCs w:val="22"/>
        </w:rPr>
      </w:pPr>
      <w:r w:rsidRPr="00A913BF">
        <w:rPr>
          <w:szCs w:val="22"/>
        </w:rPr>
        <w:t xml:space="preserve">jeigu vartojate AKF inhibitorių kartu su vaistu, priklausančiu mineralokortikoidinių receptorių antagonistų (MRA) grupei. </w:t>
      </w:r>
      <w:r w:rsidRPr="00A913BF">
        <w:rPr>
          <w:rFonts w:eastAsia="Batang"/>
          <w:szCs w:val="22"/>
        </w:rPr>
        <w:t>Šie vaistai skirti širdies nepakankamumui gydyti (žiūrėk</w:t>
      </w:r>
      <w:r>
        <w:rPr>
          <w:rFonts w:eastAsia="Batang"/>
          <w:szCs w:val="22"/>
        </w:rPr>
        <w:t>ite „Kiti vaistai ir Atacand“).</w:t>
      </w:r>
    </w:p>
    <w:p w14:paraId="311648BB" w14:textId="77777777" w:rsidR="00912BDF" w:rsidRPr="00A913BF" w:rsidRDefault="00912BDF" w:rsidP="00912BDF">
      <w:pPr>
        <w:ind w:left="720"/>
        <w:rPr>
          <w:szCs w:val="22"/>
        </w:rPr>
      </w:pPr>
    </w:p>
    <w:p w14:paraId="3EF0FA36" w14:textId="77777777" w:rsidR="00912BDF" w:rsidRPr="00A913BF" w:rsidRDefault="00912BDF" w:rsidP="00912BDF">
      <w:pPr>
        <w:rPr>
          <w:rFonts w:eastAsia="Batang"/>
          <w:szCs w:val="22"/>
        </w:rPr>
      </w:pPr>
      <w:r w:rsidRPr="00A913BF">
        <w:rPr>
          <w:rFonts w:eastAsia="Batang"/>
          <w:szCs w:val="22"/>
        </w:rPr>
        <w:t>Jūsų gydytojas gali reguliariai ištirti Jūsų inkstų funkciją, kraujospūdį ir elektrolitų kiekį (pvz., kalio) kraujyje.</w:t>
      </w:r>
    </w:p>
    <w:p w14:paraId="3DBBC003" w14:textId="77777777" w:rsidR="00912BDF" w:rsidRPr="00A913BF" w:rsidRDefault="00912BDF" w:rsidP="00912BDF">
      <w:pPr>
        <w:rPr>
          <w:szCs w:val="22"/>
        </w:rPr>
      </w:pPr>
    </w:p>
    <w:p w14:paraId="66C1F71F" w14:textId="77777777" w:rsidR="00912BDF" w:rsidRPr="00A913BF" w:rsidRDefault="00912BDF" w:rsidP="00912BDF">
      <w:pPr>
        <w:rPr>
          <w:szCs w:val="22"/>
        </w:rPr>
      </w:pPr>
      <w:r w:rsidRPr="00A913BF">
        <w:rPr>
          <w:rFonts w:eastAsia="Batang"/>
          <w:szCs w:val="22"/>
        </w:rPr>
        <w:t>Taip pat žiūrėkite informaciją, pateiktą poskyryje „Atacand vartoti negalima“.</w:t>
      </w:r>
    </w:p>
    <w:p w14:paraId="3A325DC4" w14:textId="77777777" w:rsidR="00912BDF" w:rsidRPr="00A913BF" w:rsidRDefault="00912BDF" w:rsidP="00912BDF">
      <w:pPr>
        <w:rPr>
          <w:szCs w:val="22"/>
        </w:rPr>
      </w:pPr>
    </w:p>
    <w:p w14:paraId="39440B8F" w14:textId="77777777" w:rsidR="00912BDF" w:rsidRPr="00A913BF" w:rsidRDefault="00912BDF" w:rsidP="00912BDF">
      <w:pPr>
        <w:rPr>
          <w:szCs w:val="22"/>
        </w:rPr>
      </w:pPr>
      <w:r w:rsidRPr="00A913BF">
        <w:rPr>
          <w:snapToGrid w:val="0"/>
          <w:szCs w:val="22"/>
        </w:rPr>
        <w:t>Aukščiau išvardytais atvejais gydytojas gali norėti dažniau tirti Jūsų būklę ir daryti tam tikrus tyrimus.</w:t>
      </w:r>
    </w:p>
    <w:p w14:paraId="027C413F" w14:textId="77777777" w:rsidR="00912BDF" w:rsidRPr="00A913BF" w:rsidRDefault="00912BDF" w:rsidP="00912BDF">
      <w:pPr>
        <w:rPr>
          <w:szCs w:val="22"/>
        </w:rPr>
      </w:pPr>
    </w:p>
    <w:p w14:paraId="73DFCE9F" w14:textId="77777777" w:rsidR="00912BDF" w:rsidRPr="00A913BF" w:rsidRDefault="00912BDF" w:rsidP="00912BDF">
      <w:pPr>
        <w:rPr>
          <w:szCs w:val="22"/>
        </w:rPr>
      </w:pPr>
      <w:r w:rsidRPr="00A913BF">
        <w:rPr>
          <w:szCs w:val="22"/>
        </w:rPr>
        <w:t>Jeigu ruošiatės operacijai (įskaitant dantų), pasakykite gydytojui arba odontologui apie tai, kad vartojate Atacand. Tai svarbu dėl to, kad Atacand, vartojamas kartu su kai kuriais anestetikais (nejautrą sukeliančiais vaistais), gali sukelti kraujospūdžio sumažėjimą.</w:t>
      </w:r>
    </w:p>
    <w:p w14:paraId="6C06A791" w14:textId="77777777" w:rsidR="00912BDF" w:rsidRPr="00A913BF" w:rsidRDefault="00912BDF" w:rsidP="00912BDF">
      <w:pPr>
        <w:rPr>
          <w:szCs w:val="22"/>
        </w:rPr>
      </w:pPr>
    </w:p>
    <w:p w14:paraId="5657558B" w14:textId="77777777" w:rsidR="00912BDF" w:rsidRPr="00A913BF" w:rsidRDefault="00912BDF" w:rsidP="00912BDF">
      <w:pPr>
        <w:rPr>
          <w:b/>
          <w:bCs/>
          <w:szCs w:val="22"/>
        </w:rPr>
      </w:pPr>
      <w:r w:rsidRPr="00A913BF">
        <w:rPr>
          <w:b/>
          <w:bCs/>
          <w:szCs w:val="22"/>
        </w:rPr>
        <w:t>Vaikams ir paaugliams</w:t>
      </w:r>
    </w:p>
    <w:p w14:paraId="6F7996AD" w14:textId="77777777" w:rsidR="00912BDF" w:rsidRPr="00A913BF" w:rsidRDefault="00912BDF" w:rsidP="00912BDF">
      <w:pPr>
        <w:rPr>
          <w:szCs w:val="22"/>
        </w:rPr>
      </w:pPr>
      <w:r w:rsidRPr="00A913BF">
        <w:rPr>
          <w:szCs w:val="22"/>
        </w:rPr>
        <w:t>Taip pat ištirtas Atacand poveikis vaikams. Jeigu norėtumėte sužinoti daugiau, klauskite gydytojo. Dėl galimo pavojaus besivystantiems inkstams Atacand negalima duoti jaunesniems kaip 1 metų vaikams.</w:t>
      </w:r>
    </w:p>
    <w:p w14:paraId="26965B3E" w14:textId="77777777" w:rsidR="00912BDF" w:rsidRPr="00A913BF" w:rsidRDefault="00912BDF" w:rsidP="00912BDF">
      <w:pPr>
        <w:rPr>
          <w:szCs w:val="22"/>
        </w:rPr>
      </w:pPr>
    </w:p>
    <w:p w14:paraId="71371EAE" w14:textId="77777777" w:rsidR="00912BDF" w:rsidRPr="00A913BF" w:rsidRDefault="00912BDF" w:rsidP="00912BDF">
      <w:pPr>
        <w:rPr>
          <w:b/>
          <w:bCs/>
          <w:szCs w:val="22"/>
        </w:rPr>
      </w:pPr>
      <w:r w:rsidRPr="00A913BF">
        <w:rPr>
          <w:b/>
          <w:bCs/>
          <w:szCs w:val="22"/>
        </w:rPr>
        <w:t>Kiti vaistai ir Atacand</w:t>
      </w:r>
    </w:p>
    <w:p w14:paraId="6AA0EC26" w14:textId="77777777" w:rsidR="00912BDF" w:rsidRPr="00A913BF" w:rsidRDefault="00912BDF" w:rsidP="00912BDF">
      <w:pPr>
        <w:rPr>
          <w:szCs w:val="22"/>
        </w:rPr>
      </w:pPr>
      <w:r w:rsidRPr="00A913BF">
        <w:rPr>
          <w:szCs w:val="22"/>
        </w:rPr>
        <w:t>Jeigu vartojate ar neseniai vartojote kitų vaistų arba dėl to nesate tikri, apie tai pasakykite gydytojui arba vaistininkui. Atacand gali pakeisti kai kurių kitų vaistų veikimą, o kai kurie kiti vaistai gali pakeisti Atacand veikimą. Jeigu vartojate tam tikrus vaistus, gydytojui gali tekti periodiškai daryti kraujo tyrimus.</w:t>
      </w:r>
    </w:p>
    <w:p w14:paraId="3A906039" w14:textId="77777777" w:rsidR="00912BDF" w:rsidRPr="00A913BF" w:rsidRDefault="00912BDF" w:rsidP="00912BDF">
      <w:pPr>
        <w:rPr>
          <w:szCs w:val="22"/>
        </w:rPr>
      </w:pPr>
    </w:p>
    <w:p w14:paraId="4FC82C32" w14:textId="77777777" w:rsidR="00912BDF" w:rsidRPr="00A913BF" w:rsidRDefault="00912BDF" w:rsidP="00912BDF">
      <w:pPr>
        <w:rPr>
          <w:szCs w:val="22"/>
        </w:rPr>
      </w:pPr>
      <w:r w:rsidRPr="00A913BF">
        <w:rPr>
          <w:szCs w:val="22"/>
        </w:rPr>
        <w:t xml:space="preserve">Ypač svarbu gydytojui pasakyti, jeigu vartojate žemiau nurodytus vaistus, kadangi </w:t>
      </w:r>
      <w:r w:rsidRPr="00A913BF">
        <w:rPr>
          <w:rFonts w:eastAsia="Batang"/>
          <w:szCs w:val="22"/>
        </w:rPr>
        <w:t>Jūsų gydytojui gali tekti pakeisti Jūsų dozę ir (arba) imtis kitų atsargumo priemonių</w:t>
      </w:r>
      <w:r w:rsidRPr="00A913BF">
        <w:rPr>
          <w:szCs w:val="22"/>
        </w:rPr>
        <w:t>:</w:t>
      </w:r>
    </w:p>
    <w:p w14:paraId="4D544A90" w14:textId="77777777" w:rsidR="00912BDF" w:rsidRPr="00A913BF" w:rsidRDefault="00912BDF" w:rsidP="00912BDF">
      <w:pPr>
        <w:numPr>
          <w:ilvl w:val="0"/>
          <w:numId w:val="5"/>
        </w:numPr>
        <w:rPr>
          <w:szCs w:val="22"/>
        </w:rPr>
      </w:pPr>
      <w:r w:rsidRPr="00A913BF">
        <w:rPr>
          <w:szCs w:val="22"/>
        </w:rPr>
        <w:t>kitų vaistų kraujospūdžiui mažinti, įskaitant beta adrenoblokatorius, diazoksidą ir AKF inhibitorius, pvz., enalaprilį, kaptoprilį, lizinoprilį arba ramiprilį;</w:t>
      </w:r>
    </w:p>
    <w:p w14:paraId="35BD4C55" w14:textId="77777777" w:rsidR="00912BDF" w:rsidRPr="00A913BF" w:rsidRDefault="00912BDF" w:rsidP="00912BDF">
      <w:pPr>
        <w:numPr>
          <w:ilvl w:val="0"/>
          <w:numId w:val="5"/>
        </w:numPr>
        <w:rPr>
          <w:szCs w:val="22"/>
        </w:rPr>
      </w:pPr>
      <w:r w:rsidRPr="00A913BF">
        <w:rPr>
          <w:szCs w:val="22"/>
        </w:rPr>
        <w:t xml:space="preserve">nesteroidinių vaistų nuo uždegimo, pvz., </w:t>
      </w:r>
      <w:r w:rsidRPr="00A913BF">
        <w:rPr>
          <w:snapToGrid w:val="0"/>
          <w:szCs w:val="22"/>
        </w:rPr>
        <w:t xml:space="preserve">ibuprofeną, naprokseną, diklofenaką, celekoksibą arba etorikoksibą </w:t>
      </w:r>
      <w:r w:rsidRPr="00A913BF">
        <w:rPr>
          <w:szCs w:val="22"/>
        </w:rPr>
        <w:t>(šiais vaistais malšinamas skausmas ir uždegimas);</w:t>
      </w:r>
    </w:p>
    <w:p w14:paraId="3A262070" w14:textId="77777777" w:rsidR="00912BDF" w:rsidRPr="00A913BF" w:rsidRDefault="00912BDF" w:rsidP="00912BDF">
      <w:pPr>
        <w:numPr>
          <w:ilvl w:val="0"/>
          <w:numId w:val="5"/>
        </w:numPr>
        <w:rPr>
          <w:szCs w:val="22"/>
        </w:rPr>
      </w:pPr>
      <w:r w:rsidRPr="00A913BF">
        <w:rPr>
          <w:snapToGrid w:val="0"/>
          <w:szCs w:val="22"/>
        </w:rPr>
        <w:t xml:space="preserve">acetilsalicilo rūgštį, jei jos dozė didesnė kaip 3 g per parą </w:t>
      </w:r>
      <w:r w:rsidRPr="00A913BF">
        <w:rPr>
          <w:szCs w:val="22"/>
        </w:rPr>
        <w:t>(tokia šio vaisto doze malšinamas skausmas ir uždegimas);</w:t>
      </w:r>
    </w:p>
    <w:p w14:paraId="63B72E12" w14:textId="77777777" w:rsidR="00912BDF" w:rsidRPr="00A913BF" w:rsidRDefault="00912BDF" w:rsidP="00912BDF">
      <w:pPr>
        <w:numPr>
          <w:ilvl w:val="0"/>
          <w:numId w:val="5"/>
        </w:numPr>
        <w:rPr>
          <w:szCs w:val="22"/>
        </w:rPr>
      </w:pPr>
      <w:r w:rsidRPr="00A913BF">
        <w:rPr>
          <w:szCs w:val="22"/>
        </w:rPr>
        <w:t>kalio papildų arba druskos pakaitalų, kurių sudėtyje yra kalio (jie vartojami kalio kiekiui kraujyje padidinti);</w:t>
      </w:r>
    </w:p>
    <w:p w14:paraId="056F4A06" w14:textId="77777777" w:rsidR="00912BDF" w:rsidRDefault="00912BDF" w:rsidP="00912BDF">
      <w:pPr>
        <w:numPr>
          <w:ilvl w:val="0"/>
          <w:numId w:val="5"/>
        </w:numPr>
        <w:rPr>
          <w:szCs w:val="22"/>
        </w:rPr>
      </w:pPr>
      <w:r w:rsidRPr="00A913BF">
        <w:rPr>
          <w:szCs w:val="22"/>
        </w:rPr>
        <w:t>hepariną (vaistą kraujui skystinti);</w:t>
      </w:r>
    </w:p>
    <w:p w14:paraId="197787B9" w14:textId="77777777" w:rsidR="00912BDF" w:rsidRPr="00A913BF" w:rsidRDefault="00912BDF" w:rsidP="00912BDF">
      <w:pPr>
        <w:numPr>
          <w:ilvl w:val="0"/>
          <w:numId w:val="5"/>
        </w:numPr>
        <w:rPr>
          <w:szCs w:val="22"/>
        </w:rPr>
      </w:pPr>
      <w:r w:rsidRPr="00EB7D5A">
        <w:rPr>
          <w:szCs w:val="22"/>
        </w:rPr>
        <w:lastRenderedPageBreak/>
        <w:t>trimetoprimo ir sulfametoksazolo derin</w:t>
      </w:r>
      <w:r>
        <w:rPr>
          <w:szCs w:val="22"/>
        </w:rPr>
        <w:t>į</w:t>
      </w:r>
      <w:r w:rsidRPr="00EB7D5A">
        <w:rPr>
          <w:szCs w:val="22"/>
        </w:rPr>
        <w:t xml:space="preserve"> – kotrimoksazol</w:t>
      </w:r>
      <w:r>
        <w:rPr>
          <w:szCs w:val="22"/>
        </w:rPr>
        <w:t>ą (antibiotiką);</w:t>
      </w:r>
    </w:p>
    <w:p w14:paraId="199E78E2" w14:textId="77777777" w:rsidR="00912BDF" w:rsidRPr="00A913BF" w:rsidRDefault="00912BDF" w:rsidP="00912BDF">
      <w:pPr>
        <w:numPr>
          <w:ilvl w:val="0"/>
          <w:numId w:val="5"/>
        </w:numPr>
        <w:rPr>
          <w:szCs w:val="22"/>
        </w:rPr>
      </w:pPr>
      <w:r w:rsidRPr="00A913BF">
        <w:rPr>
          <w:szCs w:val="22"/>
        </w:rPr>
        <w:t>diuretikų (šlapimo išskyrimą skatinančių vaistų);</w:t>
      </w:r>
    </w:p>
    <w:p w14:paraId="6F90442D" w14:textId="77777777" w:rsidR="00912BDF" w:rsidRPr="00A913BF" w:rsidRDefault="00912BDF" w:rsidP="00912BDF">
      <w:pPr>
        <w:numPr>
          <w:ilvl w:val="0"/>
          <w:numId w:val="5"/>
        </w:numPr>
        <w:rPr>
          <w:szCs w:val="22"/>
        </w:rPr>
      </w:pPr>
      <w:r w:rsidRPr="00A913BF">
        <w:rPr>
          <w:szCs w:val="22"/>
        </w:rPr>
        <w:t>ličio preparatą (vaistą nuo psichikos sutrikimų)</w:t>
      </w:r>
      <w:r>
        <w:rPr>
          <w:szCs w:val="22"/>
        </w:rPr>
        <w:t>;</w:t>
      </w:r>
    </w:p>
    <w:p w14:paraId="0C945688" w14:textId="77777777" w:rsidR="00912BDF" w:rsidRPr="00A913BF" w:rsidRDefault="00912BDF" w:rsidP="00912BDF">
      <w:pPr>
        <w:numPr>
          <w:ilvl w:val="0"/>
          <w:numId w:val="5"/>
        </w:numPr>
        <w:rPr>
          <w:szCs w:val="22"/>
        </w:rPr>
      </w:pPr>
      <w:r w:rsidRPr="00A913BF">
        <w:rPr>
          <w:szCs w:val="22"/>
        </w:rPr>
        <w:t>jeigu vartojate AKF inhibitorių arba aliskireną (taip pat žiūrėkite informaciją, pateiktą poskyryje „Atacand vartoti negalima“ ir „Įspėjimai ir atsargumo priemonės“)</w:t>
      </w:r>
      <w:r>
        <w:rPr>
          <w:szCs w:val="22"/>
        </w:rPr>
        <w:t>;</w:t>
      </w:r>
    </w:p>
    <w:p w14:paraId="31C84D57" w14:textId="77777777" w:rsidR="00912BDF" w:rsidRPr="00A913BF" w:rsidRDefault="00912BDF" w:rsidP="00912BDF">
      <w:pPr>
        <w:numPr>
          <w:ilvl w:val="0"/>
          <w:numId w:val="5"/>
        </w:numPr>
        <w:rPr>
          <w:szCs w:val="22"/>
        </w:rPr>
      </w:pPr>
      <w:r w:rsidRPr="00A913BF">
        <w:rPr>
          <w:szCs w:val="22"/>
        </w:rPr>
        <w:t>jeigu vartojate AKF inhibitorių kartu su tam tikrais kitais vaistais, skirtais širdies nepakankamumui gydyti ir priklausančiais mineralokortikoidinių receptorių antagonistų (MRA) grupei (pavyzdžiui, spironolaktonu, eplerenonu).</w:t>
      </w:r>
    </w:p>
    <w:p w14:paraId="6C4BC357" w14:textId="77777777" w:rsidR="00912BDF" w:rsidRPr="00A913BF" w:rsidRDefault="00912BDF" w:rsidP="00912BDF">
      <w:pPr>
        <w:rPr>
          <w:szCs w:val="22"/>
        </w:rPr>
      </w:pPr>
    </w:p>
    <w:p w14:paraId="3191DE69" w14:textId="77777777" w:rsidR="00912BDF" w:rsidRPr="00A913BF" w:rsidRDefault="00912BDF" w:rsidP="00912BDF">
      <w:pPr>
        <w:rPr>
          <w:b/>
          <w:bCs/>
          <w:szCs w:val="22"/>
        </w:rPr>
      </w:pPr>
      <w:r w:rsidRPr="00A913BF">
        <w:rPr>
          <w:b/>
          <w:bCs/>
          <w:szCs w:val="22"/>
        </w:rPr>
        <w:t>Atacand vartojimas su</w:t>
      </w:r>
      <w:r>
        <w:rPr>
          <w:b/>
          <w:bCs/>
          <w:szCs w:val="22"/>
        </w:rPr>
        <w:t xml:space="preserve"> maistu, gėrimais ir alkoholiu</w:t>
      </w:r>
    </w:p>
    <w:p w14:paraId="440E3B16" w14:textId="77777777" w:rsidR="00912BDF" w:rsidRPr="00A913BF" w:rsidRDefault="00912BDF" w:rsidP="00912BDF">
      <w:pPr>
        <w:numPr>
          <w:ilvl w:val="0"/>
          <w:numId w:val="6"/>
        </w:numPr>
        <w:rPr>
          <w:szCs w:val="22"/>
        </w:rPr>
      </w:pPr>
      <w:r w:rsidRPr="00A913BF">
        <w:rPr>
          <w:szCs w:val="22"/>
        </w:rPr>
        <w:t>Atacand galima gerti valgant arba kitu laiku.</w:t>
      </w:r>
    </w:p>
    <w:p w14:paraId="70FD85C5" w14:textId="77777777" w:rsidR="00912BDF" w:rsidRPr="00A913BF" w:rsidRDefault="00912BDF" w:rsidP="00912BDF">
      <w:pPr>
        <w:numPr>
          <w:ilvl w:val="0"/>
          <w:numId w:val="6"/>
        </w:numPr>
        <w:rPr>
          <w:szCs w:val="22"/>
        </w:rPr>
      </w:pPr>
      <w:r w:rsidRPr="00A913BF">
        <w:rPr>
          <w:szCs w:val="22"/>
        </w:rPr>
        <w:t>Jeigu Jums paskirtas vartoti Atacand, dėl alkoholinių gėrimų vartojimo pasitarkite su gydytoju. Alkoholis gali sukelti didelį silpnumą ar galvos sukimąsi.</w:t>
      </w:r>
    </w:p>
    <w:p w14:paraId="4901BB0C" w14:textId="77777777" w:rsidR="00912BDF" w:rsidRPr="00A913BF" w:rsidRDefault="00912BDF" w:rsidP="00912BDF">
      <w:pPr>
        <w:rPr>
          <w:szCs w:val="22"/>
        </w:rPr>
      </w:pPr>
    </w:p>
    <w:p w14:paraId="62718529" w14:textId="77777777" w:rsidR="00912BDF" w:rsidRPr="00A913BF" w:rsidRDefault="00912BDF" w:rsidP="00912BDF">
      <w:pPr>
        <w:rPr>
          <w:b/>
          <w:bCs/>
          <w:szCs w:val="22"/>
        </w:rPr>
      </w:pPr>
      <w:r w:rsidRPr="00A913BF">
        <w:rPr>
          <w:b/>
          <w:bCs/>
          <w:szCs w:val="22"/>
        </w:rPr>
        <w:t>Nėštumas ir žindymo laikotarpis</w:t>
      </w:r>
    </w:p>
    <w:p w14:paraId="380E72E0" w14:textId="77777777" w:rsidR="00912BDF" w:rsidRPr="00A913BF" w:rsidRDefault="00912BDF" w:rsidP="00912BDF">
      <w:pPr>
        <w:rPr>
          <w:szCs w:val="22"/>
        </w:rPr>
      </w:pPr>
    </w:p>
    <w:p w14:paraId="1D59D451" w14:textId="77777777" w:rsidR="00912BDF" w:rsidRPr="00A913BF" w:rsidRDefault="00912BDF" w:rsidP="00912BDF">
      <w:pPr>
        <w:pBdr>
          <w:top w:val="single" w:sz="4" w:space="1" w:color="auto"/>
          <w:left w:val="single" w:sz="4" w:space="4" w:color="auto"/>
          <w:bottom w:val="single" w:sz="4" w:space="1" w:color="auto"/>
          <w:right w:val="single" w:sz="4" w:space="4" w:color="auto"/>
        </w:pBdr>
        <w:rPr>
          <w:i/>
          <w:szCs w:val="22"/>
        </w:rPr>
      </w:pPr>
      <w:r w:rsidRPr="00A913BF">
        <w:rPr>
          <w:i/>
          <w:szCs w:val="22"/>
        </w:rPr>
        <w:t>Nėštumas</w:t>
      </w:r>
    </w:p>
    <w:p w14:paraId="1A32F235" w14:textId="77777777" w:rsidR="00912BDF" w:rsidRPr="00A913BF" w:rsidRDefault="00912BDF" w:rsidP="00912BDF">
      <w:pPr>
        <w:pBdr>
          <w:top w:val="single" w:sz="4" w:space="1" w:color="auto"/>
          <w:left w:val="single" w:sz="4" w:space="4" w:color="auto"/>
          <w:bottom w:val="single" w:sz="4" w:space="1" w:color="auto"/>
          <w:right w:val="single" w:sz="4" w:space="4" w:color="auto"/>
        </w:pBdr>
        <w:rPr>
          <w:szCs w:val="22"/>
        </w:rPr>
      </w:pPr>
      <w:r w:rsidRPr="00A913BF">
        <w:rPr>
          <w:snapToGrid w:val="0"/>
          <w:szCs w:val="22"/>
        </w:rPr>
        <w:t xml:space="preserve">Būtinai pasakykite gydytojui, jeigu įtariate pastojusi </w:t>
      </w:r>
      <w:r w:rsidRPr="00A913BF">
        <w:rPr>
          <w:snapToGrid w:val="0"/>
          <w:szCs w:val="22"/>
          <w:u w:val="single"/>
        </w:rPr>
        <w:t>arba galite pastoti</w:t>
      </w:r>
      <w:r w:rsidRPr="00A913BF">
        <w:rPr>
          <w:snapToGrid w:val="0"/>
          <w:szCs w:val="22"/>
        </w:rPr>
        <w:t>.</w:t>
      </w:r>
      <w:r w:rsidRPr="00A913BF">
        <w:rPr>
          <w:szCs w:val="22"/>
        </w:rPr>
        <w:t xml:space="preserve"> Jis tikriausiai patars Jums nutraukti Atacand vartojimą prieš pastojant arba kai tik paaiškės, kad pastojote, ir patars vietoje jo vartoti kitą vaistą. Nėštumo pradžioje Atacand vartoti nerekomenduojama, o jei esate nėščia ilgiau kaip 3 mėn. – negalima (šis vaistas, vartojamas tuo metu, gali labai pakenkti būsimam kūdikiui).</w:t>
      </w:r>
    </w:p>
    <w:p w14:paraId="2F82995F" w14:textId="77777777" w:rsidR="00912BDF" w:rsidRPr="00A913BF" w:rsidRDefault="00912BDF" w:rsidP="00912BDF">
      <w:pPr>
        <w:rPr>
          <w:szCs w:val="22"/>
        </w:rPr>
      </w:pPr>
    </w:p>
    <w:p w14:paraId="40429B3E" w14:textId="77777777" w:rsidR="00912BDF" w:rsidRPr="00A913BF" w:rsidRDefault="00912BDF" w:rsidP="00912BDF">
      <w:pPr>
        <w:rPr>
          <w:i/>
          <w:szCs w:val="22"/>
        </w:rPr>
      </w:pPr>
      <w:r w:rsidRPr="00A913BF">
        <w:rPr>
          <w:i/>
          <w:szCs w:val="22"/>
        </w:rPr>
        <w:t>Žindymo laikotarpis</w:t>
      </w:r>
    </w:p>
    <w:p w14:paraId="564A692C" w14:textId="77777777" w:rsidR="00912BDF" w:rsidRPr="00A913BF" w:rsidRDefault="00912BDF" w:rsidP="00912BDF">
      <w:pPr>
        <w:rPr>
          <w:szCs w:val="22"/>
        </w:rPr>
      </w:pPr>
      <w:r w:rsidRPr="00A913BF">
        <w:rPr>
          <w:snapToGrid w:val="0"/>
          <w:szCs w:val="22"/>
        </w:rPr>
        <w:t>Būtinai pasakykite gydytojui, jeigu žindote arba ruošiatės žindyti kūdikį</w:t>
      </w:r>
      <w:r w:rsidRPr="00A913BF">
        <w:rPr>
          <w:szCs w:val="22"/>
        </w:rPr>
        <w:t>. Žindyvėms Atacand vartoti nerekomenduojama. Jeigu norėtumėte žindyti (ypač naujagimį arba neišnešiotą kūdikį), gydytojas gali Jums parinkti kitų vaistų.</w:t>
      </w:r>
    </w:p>
    <w:p w14:paraId="7FB19A0B" w14:textId="77777777" w:rsidR="00912BDF" w:rsidRPr="00A913BF" w:rsidRDefault="00912BDF" w:rsidP="00912BDF">
      <w:pPr>
        <w:rPr>
          <w:szCs w:val="22"/>
        </w:rPr>
      </w:pPr>
    </w:p>
    <w:p w14:paraId="5B6F88C3" w14:textId="77777777" w:rsidR="00912BDF" w:rsidRPr="00A913BF" w:rsidRDefault="00912BDF" w:rsidP="00912BDF">
      <w:pPr>
        <w:rPr>
          <w:b/>
          <w:bCs/>
          <w:szCs w:val="22"/>
        </w:rPr>
      </w:pPr>
      <w:r w:rsidRPr="00A913BF">
        <w:rPr>
          <w:b/>
          <w:bCs/>
          <w:szCs w:val="22"/>
        </w:rPr>
        <w:t>Vairavimas ir mechanizmų valdymas</w:t>
      </w:r>
    </w:p>
    <w:p w14:paraId="60DE88EA" w14:textId="77777777" w:rsidR="00912BDF" w:rsidRPr="00A913BF" w:rsidRDefault="00912BDF" w:rsidP="00912BDF">
      <w:pPr>
        <w:rPr>
          <w:szCs w:val="22"/>
        </w:rPr>
      </w:pPr>
      <w:r w:rsidRPr="00A913BF">
        <w:rPr>
          <w:szCs w:val="22"/>
        </w:rPr>
        <w:t xml:space="preserve">Kai kurie žmonės, vartojantys </w:t>
      </w:r>
      <w:r w:rsidRPr="00A913BF">
        <w:rPr>
          <w:snapToGrid w:val="0"/>
          <w:szCs w:val="22"/>
        </w:rPr>
        <w:t>Atacand</w:t>
      </w:r>
      <w:r w:rsidRPr="00A913BF">
        <w:rPr>
          <w:szCs w:val="22"/>
        </w:rPr>
        <w:t>, gali jausti nuovargį ar galvos sukimąsi. Pajutus tokių sutrikimų, vairuoti ir valdyti mechanizmų negalima.</w:t>
      </w:r>
    </w:p>
    <w:p w14:paraId="54375E4F" w14:textId="77777777" w:rsidR="00912BDF" w:rsidRPr="00A913BF" w:rsidRDefault="00912BDF" w:rsidP="00912BDF">
      <w:pPr>
        <w:rPr>
          <w:szCs w:val="22"/>
        </w:rPr>
      </w:pPr>
    </w:p>
    <w:p w14:paraId="6B29ECB7" w14:textId="77777777" w:rsidR="00912BDF" w:rsidRPr="00A913BF" w:rsidRDefault="00912BDF" w:rsidP="00912BDF">
      <w:pPr>
        <w:rPr>
          <w:szCs w:val="22"/>
        </w:rPr>
      </w:pPr>
      <w:r w:rsidRPr="00A913BF">
        <w:rPr>
          <w:b/>
          <w:snapToGrid w:val="0"/>
          <w:szCs w:val="22"/>
        </w:rPr>
        <w:t>Atacand</w:t>
      </w:r>
      <w:r w:rsidRPr="00A913BF">
        <w:rPr>
          <w:b/>
          <w:szCs w:val="22"/>
        </w:rPr>
        <w:t xml:space="preserve"> sudėtyje yra laktozės.</w:t>
      </w:r>
      <w:r w:rsidRPr="00A913BF">
        <w:rPr>
          <w:szCs w:val="22"/>
        </w:rPr>
        <w:t xml:space="preserve"> Laktozė yra tam tikras angliavandenis. Jeigu gydytojas Jums yra sakęs, kad netoleruojate kokių nors angliavandenių, kreipkitės į jį prieš pradėdami vartoti šį vaistą.</w:t>
      </w:r>
    </w:p>
    <w:p w14:paraId="426B1786" w14:textId="77777777" w:rsidR="00912BDF" w:rsidRPr="00A913BF" w:rsidRDefault="00912BDF" w:rsidP="00912BDF">
      <w:pPr>
        <w:numPr>
          <w:ilvl w:val="12"/>
          <w:numId w:val="0"/>
        </w:numPr>
        <w:ind w:right="-2"/>
        <w:rPr>
          <w:szCs w:val="22"/>
        </w:rPr>
      </w:pPr>
    </w:p>
    <w:p w14:paraId="21725104" w14:textId="77777777" w:rsidR="00912BDF" w:rsidRPr="00A913BF" w:rsidRDefault="00912BDF" w:rsidP="00912BDF">
      <w:pPr>
        <w:numPr>
          <w:ilvl w:val="12"/>
          <w:numId w:val="0"/>
        </w:numPr>
        <w:ind w:right="-2"/>
        <w:rPr>
          <w:szCs w:val="22"/>
        </w:rPr>
      </w:pPr>
    </w:p>
    <w:p w14:paraId="399AB80E" w14:textId="77777777" w:rsidR="00912BDF" w:rsidRPr="00A913BF" w:rsidRDefault="00912BDF" w:rsidP="00912BDF">
      <w:pPr>
        <w:numPr>
          <w:ilvl w:val="12"/>
          <w:numId w:val="0"/>
        </w:numPr>
        <w:ind w:left="567" w:hanging="567"/>
        <w:outlineLvl w:val="0"/>
        <w:rPr>
          <w:b/>
          <w:caps/>
          <w:szCs w:val="22"/>
        </w:rPr>
      </w:pPr>
      <w:r w:rsidRPr="00A913BF">
        <w:rPr>
          <w:b/>
          <w:szCs w:val="22"/>
        </w:rPr>
        <w:t>3.</w:t>
      </w:r>
      <w:r w:rsidRPr="00A913BF">
        <w:rPr>
          <w:b/>
          <w:szCs w:val="22"/>
        </w:rPr>
        <w:tab/>
        <w:t>Kaip vartoti Atacand</w:t>
      </w:r>
    </w:p>
    <w:p w14:paraId="7F93D45D" w14:textId="77777777" w:rsidR="00912BDF" w:rsidRPr="00A913BF" w:rsidRDefault="00912BDF" w:rsidP="00912BDF">
      <w:pPr>
        <w:ind w:left="567" w:hanging="567"/>
        <w:rPr>
          <w:szCs w:val="22"/>
        </w:rPr>
      </w:pPr>
    </w:p>
    <w:p w14:paraId="6546E779" w14:textId="77777777" w:rsidR="00912BDF" w:rsidRPr="00A913BF" w:rsidRDefault="00912BDF" w:rsidP="00912BDF">
      <w:pPr>
        <w:rPr>
          <w:szCs w:val="22"/>
        </w:rPr>
      </w:pPr>
      <w:r w:rsidRPr="00A913BF">
        <w:rPr>
          <w:szCs w:val="22"/>
        </w:rPr>
        <w:t>Visada vartokite šį vaistą tiksliai kaip nurodė gydytojas. Jeigu abejojate, kreipkitės į gydytoją arba vaistininką. Atacand svarbu vartoti kasdien.</w:t>
      </w:r>
    </w:p>
    <w:p w14:paraId="6C2AF82D" w14:textId="77777777" w:rsidR="00912BDF" w:rsidRPr="00A913BF" w:rsidRDefault="00912BDF" w:rsidP="00912BDF">
      <w:pPr>
        <w:rPr>
          <w:szCs w:val="22"/>
        </w:rPr>
      </w:pPr>
    </w:p>
    <w:p w14:paraId="477FD3C7" w14:textId="77777777" w:rsidR="00912BDF" w:rsidRPr="00A913BF" w:rsidRDefault="00912BDF" w:rsidP="00912BDF">
      <w:pPr>
        <w:rPr>
          <w:szCs w:val="22"/>
        </w:rPr>
      </w:pPr>
      <w:r w:rsidRPr="00A913BF">
        <w:rPr>
          <w:szCs w:val="22"/>
        </w:rPr>
        <w:t>Atacand galima gerti valgio metu arba nevalgius.</w:t>
      </w:r>
    </w:p>
    <w:p w14:paraId="0DEC55D5" w14:textId="77777777" w:rsidR="00912BDF" w:rsidRPr="00A913BF" w:rsidRDefault="00912BDF" w:rsidP="00912BDF">
      <w:pPr>
        <w:rPr>
          <w:szCs w:val="22"/>
        </w:rPr>
      </w:pPr>
      <w:r w:rsidRPr="00A913BF">
        <w:rPr>
          <w:szCs w:val="22"/>
        </w:rPr>
        <w:t xml:space="preserve">Nurykite tabletę, užgerdami vandeniu. </w:t>
      </w:r>
    </w:p>
    <w:p w14:paraId="3EA58C5E" w14:textId="77777777" w:rsidR="00912BDF" w:rsidRPr="00A913BF" w:rsidRDefault="00912BDF" w:rsidP="00912BDF">
      <w:pPr>
        <w:rPr>
          <w:szCs w:val="22"/>
        </w:rPr>
      </w:pPr>
      <w:r w:rsidRPr="00A913BF">
        <w:rPr>
          <w:szCs w:val="22"/>
        </w:rPr>
        <w:t>Stenkitės gerti šias tabletes kasdien tuo pačiu laiku – tai padės jų neužmiršti.</w:t>
      </w:r>
    </w:p>
    <w:p w14:paraId="7006D0A1" w14:textId="77777777" w:rsidR="00912BDF" w:rsidRPr="00A913BF" w:rsidRDefault="00912BDF" w:rsidP="00912BDF">
      <w:pPr>
        <w:rPr>
          <w:szCs w:val="22"/>
        </w:rPr>
      </w:pPr>
    </w:p>
    <w:p w14:paraId="507EB290" w14:textId="77777777" w:rsidR="00912BDF" w:rsidRPr="00A913BF" w:rsidRDefault="00912BDF" w:rsidP="00912BDF">
      <w:pPr>
        <w:rPr>
          <w:i/>
          <w:szCs w:val="22"/>
          <w:u w:val="single"/>
        </w:rPr>
      </w:pPr>
      <w:r w:rsidRPr="00A913BF">
        <w:rPr>
          <w:i/>
          <w:szCs w:val="22"/>
          <w:u w:val="single"/>
        </w:rPr>
        <w:t>Aukštas kraujospūdis</w:t>
      </w:r>
    </w:p>
    <w:p w14:paraId="279524BE" w14:textId="77777777" w:rsidR="00912BDF" w:rsidRPr="00A913BF" w:rsidRDefault="00912BDF" w:rsidP="00912BDF">
      <w:pPr>
        <w:numPr>
          <w:ilvl w:val="0"/>
          <w:numId w:val="7"/>
        </w:numPr>
        <w:rPr>
          <w:szCs w:val="22"/>
        </w:rPr>
      </w:pPr>
      <w:r w:rsidRPr="00A913BF">
        <w:rPr>
          <w:szCs w:val="22"/>
        </w:rPr>
        <w:t>Rekomenduojama Atacand dozė – 8 mg 1 kartą per parą. Gydytojas, atsižvelgdamas į kraujospūdžio pokyčius, gali didinti dozę iki 16 mg 1 kartą per parą ir vėliau – iki 32 mg 1 kartą per parą.</w:t>
      </w:r>
    </w:p>
    <w:p w14:paraId="1FAF4C1E" w14:textId="77777777" w:rsidR="00912BDF" w:rsidRPr="00A913BF" w:rsidRDefault="00912BDF" w:rsidP="00912BDF">
      <w:pPr>
        <w:numPr>
          <w:ilvl w:val="0"/>
          <w:numId w:val="7"/>
        </w:numPr>
        <w:rPr>
          <w:szCs w:val="22"/>
        </w:rPr>
      </w:pPr>
      <w:r w:rsidRPr="00A913BF">
        <w:rPr>
          <w:szCs w:val="22"/>
        </w:rPr>
        <w:t>Kai kuriems pacientams (sergantiems kepenų ar inkstų ligomis arba neseniai netekusiems daug skysčių, pvz., dėl vėmimo, viduriavimo ar šlapimo išskyrimą skatinančių tablečių vartojimo) gydytojas gali skirti mažesnę pradinę dozę.</w:t>
      </w:r>
    </w:p>
    <w:p w14:paraId="2307CC21" w14:textId="77777777" w:rsidR="00912BDF" w:rsidRPr="00A913BF" w:rsidRDefault="00912BDF" w:rsidP="00912BDF">
      <w:pPr>
        <w:numPr>
          <w:ilvl w:val="0"/>
          <w:numId w:val="7"/>
        </w:numPr>
        <w:rPr>
          <w:szCs w:val="22"/>
        </w:rPr>
      </w:pPr>
      <w:r w:rsidRPr="00A913BF">
        <w:rPr>
          <w:szCs w:val="22"/>
        </w:rPr>
        <w:t xml:space="preserve">Kai kuriems juodaodžiams pacientams atskirai vartojamų šios grupės vaistų poveikis gali būti silpnesnis, todėl jiems gali reikėti didesnės dozės. </w:t>
      </w:r>
    </w:p>
    <w:p w14:paraId="7D2ECE6C" w14:textId="77777777" w:rsidR="00912BDF" w:rsidRPr="00A913BF" w:rsidRDefault="00912BDF" w:rsidP="00912BDF">
      <w:pPr>
        <w:rPr>
          <w:szCs w:val="22"/>
        </w:rPr>
      </w:pPr>
    </w:p>
    <w:p w14:paraId="07B20D88" w14:textId="77777777" w:rsidR="00912BDF" w:rsidRPr="00A913BF" w:rsidRDefault="00912BDF" w:rsidP="00912BDF">
      <w:pPr>
        <w:rPr>
          <w:i/>
          <w:szCs w:val="22"/>
          <w:u w:val="single"/>
        </w:rPr>
      </w:pPr>
      <w:r w:rsidRPr="00A913BF">
        <w:rPr>
          <w:i/>
          <w:szCs w:val="22"/>
          <w:u w:val="single"/>
        </w:rPr>
        <w:t>Vartojimas vaikams ir paaugliams, kurių kraujospūdis padidėjęs</w:t>
      </w:r>
    </w:p>
    <w:p w14:paraId="54BDDD77" w14:textId="77777777" w:rsidR="00912BDF" w:rsidRPr="00A913BF" w:rsidRDefault="00912BDF" w:rsidP="00912BDF">
      <w:pPr>
        <w:rPr>
          <w:szCs w:val="22"/>
        </w:rPr>
      </w:pPr>
    </w:p>
    <w:p w14:paraId="12E60DE0" w14:textId="77777777" w:rsidR="00912BDF" w:rsidRPr="00A913BF" w:rsidRDefault="00912BDF" w:rsidP="00912BDF">
      <w:pPr>
        <w:rPr>
          <w:i/>
          <w:szCs w:val="22"/>
        </w:rPr>
      </w:pPr>
      <w:r w:rsidRPr="00A913BF">
        <w:rPr>
          <w:i/>
          <w:szCs w:val="22"/>
        </w:rPr>
        <w:lastRenderedPageBreak/>
        <w:t>Vaikams ir paaugliams nuo 6 iki 18 metų</w:t>
      </w:r>
    </w:p>
    <w:p w14:paraId="1EAF1694" w14:textId="77777777" w:rsidR="00912BDF" w:rsidRPr="00A913BF" w:rsidRDefault="00912BDF" w:rsidP="00912BDF">
      <w:pPr>
        <w:rPr>
          <w:szCs w:val="22"/>
        </w:rPr>
      </w:pPr>
      <w:r w:rsidRPr="00A913BF">
        <w:rPr>
          <w:szCs w:val="22"/>
        </w:rPr>
        <w:t xml:space="preserve">Rekomenduojama pradinė dozė yra 4 mg 1 kartą per parą. </w:t>
      </w:r>
    </w:p>
    <w:p w14:paraId="3E01FB31" w14:textId="77777777" w:rsidR="00912BDF" w:rsidRPr="00A913BF" w:rsidRDefault="00912BDF" w:rsidP="00912BDF">
      <w:pPr>
        <w:rPr>
          <w:szCs w:val="22"/>
        </w:rPr>
      </w:pPr>
    </w:p>
    <w:p w14:paraId="6D0E4EF4" w14:textId="77777777" w:rsidR="00912BDF" w:rsidRPr="00A913BF" w:rsidRDefault="00912BDF" w:rsidP="00912BDF">
      <w:pPr>
        <w:rPr>
          <w:szCs w:val="22"/>
        </w:rPr>
      </w:pPr>
      <w:r w:rsidRPr="00A913BF">
        <w:rPr>
          <w:szCs w:val="22"/>
        </w:rPr>
        <w:t>&lt; 50 kg svorio pacientams: kai kuriems pacientams, kurių kraujospūdžio tinkamai sureguliuoti nepavyksta, gydytojas gali nuspręsti padidinti dozę iki didžiausios – 8 mg 1 kartą per parą.</w:t>
      </w:r>
    </w:p>
    <w:p w14:paraId="58F7E3C5" w14:textId="77777777" w:rsidR="00912BDF" w:rsidRPr="00A913BF" w:rsidRDefault="00912BDF" w:rsidP="00912BDF">
      <w:pPr>
        <w:rPr>
          <w:szCs w:val="22"/>
        </w:rPr>
      </w:pPr>
    </w:p>
    <w:p w14:paraId="38E9E398" w14:textId="77777777" w:rsidR="00912BDF" w:rsidRPr="00A913BF" w:rsidRDefault="00912BDF" w:rsidP="00912BDF">
      <w:pPr>
        <w:rPr>
          <w:szCs w:val="22"/>
        </w:rPr>
      </w:pPr>
      <w:r w:rsidRPr="00A913BF">
        <w:rPr>
          <w:szCs w:val="22"/>
        </w:rPr>
        <w:t>≥ 50 kg svorio pacientams: kai kuriems pacientams, kurių kraujospūdžio tinkamai sureguliuoti nepavyksta, gydytojas gali nuspręsti padidinti dozę iki 8 mg 1 kartą per parą ir vėliau iki 16 mg 1 kartą per parą.</w:t>
      </w:r>
    </w:p>
    <w:p w14:paraId="7FCD0EB0" w14:textId="77777777" w:rsidR="00912BDF" w:rsidRPr="00A913BF" w:rsidRDefault="00912BDF" w:rsidP="00912BDF">
      <w:pPr>
        <w:rPr>
          <w:szCs w:val="22"/>
        </w:rPr>
      </w:pPr>
    </w:p>
    <w:p w14:paraId="78B97949" w14:textId="77777777" w:rsidR="00912BDF" w:rsidRPr="00A913BF" w:rsidRDefault="00912BDF" w:rsidP="00912BDF">
      <w:pPr>
        <w:rPr>
          <w:i/>
          <w:szCs w:val="22"/>
          <w:u w:val="single"/>
        </w:rPr>
      </w:pPr>
      <w:r w:rsidRPr="00A913BF">
        <w:rPr>
          <w:i/>
          <w:szCs w:val="22"/>
          <w:u w:val="single"/>
        </w:rPr>
        <w:t>Suaugusiųjų širdies nepakankamumas</w:t>
      </w:r>
    </w:p>
    <w:p w14:paraId="7E6ECF64" w14:textId="77777777" w:rsidR="00912BDF" w:rsidRPr="00A913BF" w:rsidRDefault="00912BDF" w:rsidP="00912BDF">
      <w:pPr>
        <w:numPr>
          <w:ilvl w:val="0"/>
          <w:numId w:val="8"/>
        </w:numPr>
        <w:rPr>
          <w:szCs w:val="22"/>
        </w:rPr>
      </w:pPr>
      <w:r w:rsidRPr="00A913BF">
        <w:rPr>
          <w:szCs w:val="22"/>
        </w:rPr>
        <w:t>Rekomenduojama pradinė Atacand dozė – 4 mg 1 kartą per parą. Ne dažniau kaip kas 2 savaites gydytojas gali dvigubai didinti šią dozę iki 32 mg 1 kartą per parą. Atacand galima vartoti kartu su kitais vaistais nuo širdies nepakankamumo (koks gydymas tinka Jums, nuspręs gydytojas).</w:t>
      </w:r>
    </w:p>
    <w:p w14:paraId="7C17227D" w14:textId="77777777" w:rsidR="00912BDF" w:rsidRPr="00A913BF" w:rsidRDefault="00912BDF" w:rsidP="00912BDF">
      <w:pPr>
        <w:rPr>
          <w:szCs w:val="22"/>
        </w:rPr>
      </w:pPr>
    </w:p>
    <w:p w14:paraId="1E931CA8" w14:textId="77777777" w:rsidR="00912BDF" w:rsidRPr="00A913BF" w:rsidRDefault="00912BDF" w:rsidP="00912BDF">
      <w:pPr>
        <w:rPr>
          <w:b/>
          <w:bCs/>
          <w:szCs w:val="22"/>
        </w:rPr>
      </w:pPr>
      <w:r w:rsidRPr="00A913BF">
        <w:rPr>
          <w:b/>
          <w:bCs/>
          <w:szCs w:val="22"/>
        </w:rPr>
        <w:t>Pavartojus per didelę Atacand dozę</w:t>
      </w:r>
    </w:p>
    <w:p w14:paraId="0CBF2DA1" w14:textId="77777777" w:rsidR="00912BDF" w:rsidRPr="00A913BF" w:rsidRDefault="00912BDF" w:rsidP="00912BDF">
      <w:pPr>
        <w:rPr>
          <w:szCs w:val="22"/>
        </w:rPr>
      </w:pPr>
      <w:r w:rsidRPr="00A913BF">
        <w:rPr>
          <w:szCs w:val="22"/>
        </w:rPr>
        <w:t>Išgėrę daugiau Atacand negu nurodė gydytojas, nedelsdami kreipkitės patarimo į gydytoją arba vaistininką.</w:t>
      </w:r>
    </w:p>
    <w:p w14:paraId="1D462FBD" w14:textId="77777777" w:rsidR="00912BDF" w:rsidRPr="00A913BF" w:rsidRDefault="00912BDF" w:rsidP="00912BDF">
      <w:pPr>
        <w:rPr>
          <w:szCs w:val="22"/>
        </w:rPr>
      </w:pPr>
    </w:p>
    <w:p w14:paraId="28A22C9E" w14:textId="77777777" w:rsidR="00912BDF" w:rsidRPr="00A913BF" w:rsidRDefault="00912BDF" w:rsidP="00912BDF">
      <w:pPr>
        <w:rPr>
          <w:b/>
          <w:bCs/>
          <w:szCs w:val="22"/>
        </w:rPr>
      </w:pPr>
      <w:r w:rsidRPr="00A913BF">
        <w:rPr>
          <w:b/>
          <w:bCs/>
          <w:szCs w:val="22"/>
        </w:rPr>
        <w:t>Pamiršus pavartoti Atacand</w:t>
      </w:r>
    </w:p>
    <w:p w14:paraId="709683C2" w14:textId="77777777" w:rsidR="00912BDF" w:rsidRPr="00A913BF" w:rsidRDefault="00912BDF" w:rsidP="00912BDF">
      <w:pPr>
        <w:rPr>
          <w:szCs w:val="22"/>
        </w:rPr>
      </w:pPr>
      <w:r w:rsidRPr="00A913BF">
        <w:rPr>
          <w:szCs w:val="22"/>
        </w:rPr>
        <w:t>Negalima vartoti dvigubos dozės norint kompensuoti praleistą tabletę. Kitą dozę gerkite įprastu laiku.</w:t>
      </w:r>
    </w:p>
    <w:p w14:paraId="5949ABED" w14:textId="77777777" w:rsidR="00912BDF" w:rsidRPr="00A913BF" w:rsidRDefault="00912BDF" w:rsidP="00912BDF">
      <w:pPr>
        <w:rPr>
          <w:szCs w:val="22"/>
        </w:rPr>
      </w:pPr>
    </w:p>
    <w:p w14:paraId="7A558613" w14:textId="77777777" w:rsidR="00912BDF" w:rsidRPr="00A913BF" w:rsidRDefault="00912BDF" w:rsidP="00912BDF">
      <w:pPr>
        <w:rPr>
          <w:b/>
          <w:bCs/>
          <w:szCs w:val="22"/>
        </w:rPr>
      </w:pPr>
      <w:r w:rsidRPr="00A913BF">
        <w:rPr>
          <w:b/>
          <w:bCs/>
          <w:szCs w:val="22"/>
        </w:rPr>
        <w:t>Nustojus vartoti Atacand</w:t>
      </w:r>
    </w:p>
    <w:p w14:paraId="3E058515" w14:textId="77777777" w:rsidR="00912BDF" w:rsidRPr="00A913BF" w:rsidRDefault="00912BDF" w:rsidP="00912BDF">
      <w:pPr>
        <w:rPr>
          <w:szCs w:val="22"/>
        </w:rPr>
      </w:pPr>
      <w:r w:rsidRPr="00A913BF">
        <w:rPr>
          <w:szCs w:val="22"/>
        </w:rPr>
        <w:t>Nustojus vartoti Atacand, Jūsų kraujospūdis gali vėl padidėti, todėl nenutraukite šio vaisto vartojimo nepasitarę su gydytoju.</w:t>
      </w:r>
    </w:p>
    <w:p w14:paraId="74CF4BF8" w14:textId="77777777" w:rsidR="00912BDF" w:rsidRPr="00A913BF" w:rsidRDefault="00912BDF" w:rsidP="00912BDF">
      <w:pPr>
        <w:rPr>
          <w:szCs w:val="22"/>
        </w:rPr>
      </w:pPr>
    </w:p>
    <w:p w14:paraId="4FA26506" w14:textId="77777777" w:rsidR="00912BDF" w:rsidRPr="00A913BF" w:rsidRDefault="00912BDF" w:rsidP="00912BDF">
      <w:pPr>
        <w:rPr>
          <w:szCs w:val="22"/>
        </w:rPr>
      </w:pPr>
      <w:r w:rsidRPr="00A913BF">
        <w:rPr>
          <w:szCs w:val="22"/>
        </w:rPr>
        <w:t>Jeigu kiltų daugiau klausimų dėl šio vaisto vartojimo, kreipkitės į gydytoją arba vaistininką.</w:t>
      </w:r>
    </w:p>
    <w:p w14:paraId="240A81CE" w14:textId="77777777" w:rsidR="00912BDF" w:rsidRPr="00A913BF" w:rsidRDefault="00912BDF" w:rsidP="00912BDF">
      <w:pPr>
        <w:rPr>
          <w:szCs w:val="22"/>
        </w:rPr>
      </w:pPr>
    </w:p>
    <w:p w14:paraId="42228185" w14:textId="77777777" w:rsidR="00912BDF" w:rsidRPr="00A913BF" w:rsidRDefault="00912BDF" w:rsidP="00912BDF">
      <w:pPr>
        <w:numPr>
          <w:ilvl w:val="12"/>
          <w:numId w:val="0"/>
        </w:numPr>
        <w:ind w:right="-2"/>
        <w:rPr>
          <w:szCs w:val="22"/>
        </w:rPr>
      </w:pPr>
    </w:p>
    <w:p w14:paraId="40CFA24F" w14:textId="77777777" w:rsidR="00912BDF" w:rsidRPr="00A913BF" w:rsidRDefault="00912BDF" w:rsidP="00912BDF">
      <w:pPr>
        <w:numPr>
          <w:ilvl w:val="12"/>
          <w:numId w:val="0"/>
        </w:numPr>
        <w:ind w:left="567" w:hanging="567"/>
        <w:outlineLvl w:val="0"/>
        <w:rPr>
          <w:b/>
          <w:caps/>
          <w:szCs w:val="22"/>
        </w:rPr>
      </w:pPr>
      <w:r w:rsidRPr="00A913BF">
        <w:rPr>
          <w:b/>
          <w:caps/>
          <w:szCs w:val="22"/>
        </w:rPr>
        <w:t>4.</w:t>
      </w:r>
      <w:r w:rsidRPr="00A913BF">
        <w:rPr>
          <w:b/>
          <w:caps/>
          <w:szCs w:val="22"/>
        </w:rPr>
        <w:tab/>
      </w:r>
      <w:r w:rsidRPr="00A913BF">
        <w:rPr>
          <w:b/>
          <w:szCs w:val="22"/>
        </w:rPr>
        <w:t>Galimas šalutinis poveikis</w:t>
      </w:r>
    </w:p>
    <w:p w14:paraId="7892861D" w14:textId="77777777" w:rsidR="00912BDF" w:rsidRPr="00A913BF" w:rsidRDefault="00912BDF" w:rsidP="00912BDF">
      <w:pPr>
        <w:ind w:left="567" w:hanging="567"/>
        <w:rPr>
          <w:szCs w:val="22"/>
        </w:rPr>
      </w:pPr>
    </w:p>
    <w:p w14:paraId="28300970" w14:textId="77777777" w:rsidR="00912BDF" w:rsidRPr="00A913BF" w:rsidRDefault="00912BDF" w:rsidP="00912BDF">
      <w:pPr>
        <w:rPr>
          <w:szCs w:val="22"/>
        </w:rPr>
      </w:pPr>
      <w:r w:rsidRPr="00A913BF">
        <w:rPr>
          <w:szCs w:val="22"/>
        </w:rPr>
        <w:t>Šis vaistas, kaip ir visi kiti, gali sukelti šalutinį poveikį, nors jis pasireiškia ne visiems žmonėms. Jums svarbu žinoti, koks šalutinis poveikis gali pasireikšti.</w:t>
      </w:r>
    </w:p>
    <w:p w14:paraId="55E6CDC0" w14:textId="77777777" w:rsidR="00912BDF" w:rsidRPr="00A913BF" w:rsidRDefault="00912BDF" w:rsidP="00912BDF">
      <w:pPr>
        <w:jc w:val="center"/>
        <w:rPr>
          <w:szCs w:val="22"/>
        </w:rPr>
      </w:pPr>
    </w:p>
    <w:p w14:paraId="12702435" w14:textId="77777777" w:rsidR="00912BDF" w:rsidRPr="00A913BF" w:rsidRDefault="00912BDF" w:rsidP="00912BDF">
      <w:pPr>
        <w:rPr>
          <w:b/>
          <w:szCs w:val="22"/>
        </w:rPr>
      </w:pPr>
      <w:r w:rsidRPr="00A913BF">
        <w:rPr>
          <w:b/>
          <w:szCs w:val="22"/>
        </w:rPr>
        <w:t>Nedelsdami nutraukite Atacand vartojimą ir kreipkitės į gydytoją, jeigu pasireiškia kuri nors iš šių alerginių reakcijų:</w:t>
      </w:r>
    </w:p>
    <w:p w14:paraId="7329B67B" w14:textId="77777777" w:rsidR="00912BDF" w:rsidRPr="00A913BF" w:rsidRDefault="00912BDF" w:rsidP="00912BDF">
      <w:pPr>
        <w:numPr>
          <w:ilvl w:val="0"/>
          <w:numId w:val="8"/>
        </w:numPr>
        <w:rPr>
          <w:szCs w:val="22"/>
        </w:rPr>
      </w:pPr>
      <w:r w:rsidRPr="00A913BF">
        <w:rPr>
          <w:szCs w:val="22"/>
        </w:rPr>
        <w:t>kvėpavimo pasunkėjimas patinus arba nepatinus veidui, lūpoms, liežuviui ir (arba) gerklei;</w:t>
      </w:r>
    </w:p>
    <w:p w14:paraId="224A737D" w14:textId="77777777" w:rsidR="00912BDF" w:rsidRPr="00A913BF" w:rsidRDefault="00912BDF" w:rsidP="00912BDF">
      <w:pPr>
        <w:numPr>
          <w:ilvl w:val="0"/>
          <w:numId w:val="8"/>
        </w:numPr>
        <w:rPr>
          <w:szCs w:val="22"/>
        </w:rPr>
      </w:pPr>
      <w:r w:rsidRPr="00A913BF">
        <w:rPr>
          <w:szCs w:val="22"/>
        </w:rPr>
        <w:t>veido, lūpų, liežuvio ir (arba) gerklės patinimas, dėl kurio gali pasunkėti rijimas;</w:t>
      </w:r>
    </w:p>
    <w:p w14:paraId="1D3D3DFB" w14:textId="77777777" w:rsidR="00912BDF" w:rsidRPr="00A913BF" w:rsidRDefault="00912BDF" w:rsidP="00912BDF">
      <w:pPr>
        <w:numPr>
          <w:ilvl w:val="0"/>
          <w:numId w:val="8"/>
        </w:numPr>
        <w:rPr>
          <w:szCs w:val="22"/>
        </w:rPr>
      </w:pPr>
      <w:r w:rsidRPr="00A913BF">
        <w:rPr>
          <w:szCs w:val="22"/>
        </w:rPr>
        <w:t>stiprus odos niežulys ir ruplės (riboti patinimai) joje.</w:t>
      </w:r>
    </w:p>
    <w:p w14:paraId="517F892B" w14:textId="77777777" w:rsidR="00912BDF" w:rsidRPr="00A913BF" w:rsidRDefault="00912BDF" w:rsidP="00912BDF">
      <w:pPr>
        <w:rPr>
          <w:szCs w:val="22"/>
        </w:rPr>
      </w:pPr>
    </w:p>
    <w:p w14:paraId="24BE1F4C" w14:textId="77777777" w:rsidR="00912BDF" w:rsidRPr="00A913BF" w:rsidRDefault="00912BDF" w:rsidP="00912BDF">
      <w:pPr>
        <w:rPr>
          <w:szCs w:val="22"/>
        </w:rPr>
      </w:pPr>
      <w:r w:rsidRPr="00A913BF">
        <w:rPr>
          <w:szCs w:val="22"/>
        </w:rPr>
        <w:t>Atacand gali sukelti baltųjų kraujo ląstelių kiekio sumažėjimą. Gali sumažėti atsparumas infekcijoms, galite jausti nuovargį, infekcijos požymių, pradėti karščiuoti. Atsiradus tokių sutrikimų, kreipkitės į gydytoją. Gydytojas gali kartais daryti kraujo tyrimus, kad galėtų įsitikinti, ar nepasireiškė Atacand šalutinis poveikis kraujui (agranulocitozė).</w:t>
      </w:r>
    </w:p>
    <w:p w14:paraId="2CC376EF" w14:textId="77777777" w:rsidR="00912BDF" w:rsidRPr="00A913BF" w:rsidRDefault="00912BDF" w:rsidP="00912BDF">
      <w:pPr>
        <w:rPr>
          <w:szCs w:val="22"/>
        </w:rPr>
      </w:pPr>
    </w:p>
    <w:p w14:paraId="61B67DDF" w14:textId="77777777" w:rsidR="00912BDF" w:rsidRPr="00A913BF" w:rsidRDefault="00912BDF" w:rsidP="00912BDF">
      <w:pPr>
        <w:tabs>
          <w:tab w:val="left" w:pos="7513"/>
        </w:tabs>
        <w:rPr>
          <w:szCs w:val="22"/>
        </w:rPr>
      </w:pPr>
      <w:r w:rsidRPr="00A913BF">
        <w:rPr>
          <w:szCs w:val="22"/>
        </w:rPr>
        <w:t>Kitas galimas šalutinis poveikis nurodytas žemiau.</w:t>
      </w:r>
    </w:p>
    <w:p w14:paraId="3107C60E" w14:textId="77777777" w:rsidR="00912BDF" w:rsidRPr="00A913BF" w:rsidRDefault="00912BDF" w:rsidP="00912BDF">
      <w:pPr>
        <w:rPr>
          <w:szCs w:val="22"/>
        </w:rPr>
      </w:pPr>
    </w:p>
    <w:p w14:paraId="1245CC19" w14:textId="77777777" w:rsidR="00912BDF" w:rsidRPr="00A913BF" w:rsidRDefault="00912BDF" w:rsidP="00912BDF">
      <w:pPr>
        <w:rPr>
          <w:b/>
          <w:szCs w:val="22"/>
        </w:rPr>
      </w:pPr>
      <w:r w:rsidRPr="00A913BF">
        <w:rPr>
          <w:b/>
          <w:szCs w:val="22"/>
        </w:rPr>
        <w:t>Dažnas (pasireiškia nuo 1 iki 10 vartotojų iš 100):</w:t>
      </w:r>
    </w:p>
    <w:p w14:paraId="1AB399BA" w14:textId="77777777" w:rsidR="00912BDF" w:rsidRPr="00A913BF" w:rsidRDefault="00912BDF" w:rsidP="00912BDF">
      <w:pPr>
        <w:numPr>
          <w:ilvl w:val="0"/>
          <w:numId w:val="9"/>
        </w:numPr>
        <w:rPr>
          <w:szCs w:val="22"/>
        </w:rPr>
      </w:pPr>
      <w:r w:rsidRPr="00A913BF">
        <w:rPr>
          <w:szCs w:val="22"/>
        </w:rPr>
        <w:t>svaigulys ar svaigimas (galvos sukimasis);</w:t>
      </w:r>
    </w:p>
    <w:p w14:paraId="771D2259" w14:textId="77777777" w:rsidR="00912BDF" w:rsidRPr="00A913BF" w:rsidRDefault="00912BDF" w:rsidP="00912BDF">
      <w:pPr>
        <w:numPr>
          <w:ilvl w:val="0"/>
          <w:numId w:val="9"/>
        </w:numPr>
        <w:rPr>
          <w:szCs w:val="22"/>
        </w:rPr>
      </w:pPr>
      <w:r w:rsidRPr="00A913BF">
        <w:rPr>
          <w:szCs w:val="22"/>
        </w:rPr>
        <w:t>galvos skausmas;</w:t>
      </w:r>
    </w:p>
    <w:p w14:paraId="33BBAFDC" w14:textId="77777777" w:rsidR="00912BDF" w:rsidRPr="00A913BF" w:rsidRDefault="00912BDF" w:rsidP="00912BDF">
      <w:pPr>
        <w:numPr>
          <w:ilvl w:val="0"/>
          <w:numId w:val="9"/>
        </w:numPr>
        <w:rPr>
          <w:szCs w:val="22"/>
        </w:rPr>
      </w:pPr>
      <w:r w:rsidRPr="00A913BF">
        <w:rPr>
          <w:szCs w:val="22"/>
        </w:rPr>
        <w:t>kvėpavimo takų infekcija;</w:t>
      </w:r>
    </w:p>
    <w:p w14:paraId="42566AC1" w14:textId="77777777" w:rsidR="00912BDF" w:rsidRPr="00A913BF" w:rsidRDefault="00912BDF" w:rsidP="00912BDF">
      <w:pPr>
        <w:numPr>
          <w:ilvl w:val="0"/>
          <w:numId w:val="9"/>
        </w:numPr>
        <w:rPr>
          <w:szCs w:val="22"/>
        </w:rPr>
      </w:pPr>
      <w:r w:rsidRPr="00A913BF">
        <w:rPr>
          <w:szCs w:val="22"/>
        </w:rPr>
        <w:t>žemas kraujospūdis (dėl to galite jausti silpnumą ar galvos sukimąsi);</w:t>
      </w:r>
    </w:p>
    <w:p w14:paraId="084A542B" w14:textId="77777777" w:rsidR="00912BDF" w:rsidRPr="00A913BF" w:rsidRDefault="00912BDF" w:rsidP="00912BDF">
      <w:pPr>
        <w:numPr>
          <w:ilvl w:val="0"/>
          <w:numId w:val="9"/>
        </w:numPr>
        <w:rPr>
          <w:szCs w:val="22"/>
        </w:rPr>
      </w:pPr>
      <w:r w:rsidRPr="00A913BF">
        <w:rPr>
          <w:szCs w:val="22"/>
        </w:rPr>
        <w:t>pakitę kraujo tyrimų duomenys:</w:t>
      </w:r>
    </w:p>
    <w:p w14:paraId="268BB83C" w14:textId="77777777" w:rsidR="00912BDF" w:rsidRPr="00A913BF" w:rsidRDefault="00912BDF" w:rsidP="00912BDF">
      <w:pPr>
        <w:ind w:left="567"/>
        <w:rPr>
          <w:szCs w:val="22"/>
        </w:rPr>
      </w:pPr>
      <w:r w:rsidRPr="00A913BF">
        <w:rPr>
          <w:szCs w:val="22"/>
        </w:rPr>
        <w:t>padidėjęs kalio kiekis kraujyje, ypač jei sutrikusi Jūsų inkstų funkcija arba sergate širdies nepakankamumu (labai padaugėjus kalio, galite jausti nuovargį, silpnumą, nereguliarų širdies plakimą ar odos dilgčiojimą);</w:t>
      </w:r>
    </w:p>
    <w:p w14:paraId="59279BA1" w14:textId="77777777" w:rsidR="00912BDF" w:rsidRPr="00A913BF" w:rsidRDefault="00912BDF" w:rsidP="00912BDF">
      <w:pPr>
        <w:numPr>
          <w:ilvl w:val="0"/>
          <w:numId w:val="9"/>
        </w:numPr>
        <w:rPr>
          <w:szCs w:val="22"/>
        </w:rPr>
      </w:pPr>
      <w:r w:rsidRPr="00A913BF">
        <w:rPr>
          <w:szCs w:val="22"/>
        </w:rPr>
        <w:lastRenderedPageBreak/>
        <w:t>inkstų funkcijos pablogėjimas, ypač jei ji buvo sutrikusi iki gydymo arba jei sergate širdies nepakankamumu. Labai retais atvejais gali ištikti inkstų nepakankamumas.</w:t>
      </w:r>
    </w:p>
    <w:p w14:paraId="5F8A546A" w14:textId="77777777" w:rsidR="00912BDF" w:rsidRPr="00A913BF" w:rsidRDefault="00912BDF" w:rsidP="00912BDF">
      <w:pPr>
        <w:rPr>
          <w:szCs w:val="22"/>
        </w:rPr>
      </w:pPr>
    </w:p>
    <w:p w14:paraId="58D55A0C" w14:textId="77777777" w:rsidR="00912BDF" w:rsidRPr="00A913BF" w:rsidRDefault="00912BDF" w:rsidP="00912BDF">
      <w:pPr>
        <w:rPr>
          <w:b/>
          <w:szCs w:val="22"/>
        </w:rPr>
      </w:pPr>
      <w:r w:rsidRPr="00A913BF">
        <w:rPr>
          <w:b/>
          <w:szCs w:val="22"/>
        </w:rPr>
        <w:t>Labai retas (pasireiškia mažiau kaip 1 vartotojui iš 10000):</w:t>
      </w:r>
    </w:p>
    <w:p w14:paraId="0BEC5BA6" w14:textId="77777777" w:rsidR="00912BDF" w:rsidRPr="00A913BF" w:rsidRDefault="00912BDF" w:rsidP="00912BDF">
      <w:pPr>
        <w:numPr>
          <w:ilvl w:val="0"/>
          <w:numId w:val="10"/>
        </w:numPr>
        <w:rPr>
          <w:szCs w:val="22"/>
        </w:rPr>
      </w:pPr>
      <w:r w:rsidRPr="00A913BF">
        <w:rPr>
          <w:szCs w:val="22"/>
        </w:rPr>
        <w:t>veido, lūpų, liežuvio ir (ar) gerklės patinimas;</w:t>
      </w:r>
    </w:p>
    <w:p w14:paraId="0584A841" w14:textId="77777777" w:rsidR="00912BDF" w:rsidRPr="00A913BF" w:rsidRDefault="00912BDF" w:rsidP="00912BDF">
      <w:pPr>
        <w:numPr>
          <w:ilvl w:val="0"/>
          <w:numId w:val="10"/>
        </w:numPr>
        <w:rPr>
          <w:szCs w:val="22"/>
        </w:rPr>
      </w:pPr>
      <w:r w:rsidRPr="00A913BF">
        <w:rPr>
          <w:szCs w:val="22"/>
        </w:rPr>
        <w:t>sumažėjęs raudonųjų ar baltųjų kraujo kūnelių kiekis (dėl to galite jausti nuovargį, infekcijos požymių, pradėti karščiuoti);</w:t>
      </w:r>
    </w:p>
    <w:p w14:paraId="4D377AE3" w14:textId="77777777" w:rsidR="00912BDF" w:rsidRPr="00A913BF" w:rsidRDefault="00912BDF" w:rsidP="00912BDF">
      <w:pPr>
        <w:numPr>
          <w:ilvl w:val="0"/>
          <w:numId w:val="10"/>
        </w:numPr>
        <w:rPr>
          <w:szCs w:val="22"/>
        </w:rPr>
      </w:pPr>
      <w:r w:rsidRPr="00A913BF">
        <w:rPr>
          <w:szCs w:val="22"/>
        </w:rPr>
        <w:t>odos išbėrimas, dilgėlinė;</w:t>
      </w:r>
    </w:p>
    <w:p w14:paraId="647235EC" w14:textId="77777777" w:rsidR="00912BDF" w:rsidRPr="00A913BF" w:rsidRDefault="00912BDF" w:rsidP="00912BDF">
      <w:pPr>
        <w:numPr>
          <w:ilvl w:val="0"/>
          <w:numId w:val="10"/>
        </w:numPr>
        <w:rPr>
          <w:szCs w:val="22"/>
        </w:rPr>
      </w:pPr>
      <w:r w:rsidRPr="00A913BF">
        <w:rPr>
          <w:szCs w:val="22"/>
        </w:rPr>
        <w:t>niežulys;</w:t>
      </w:r>
    </w:p>
    <w:p w14:paraId="0C8B8850" w14:textId="77777777" w:rsidR="00912BDF" w:rsidRPr="00A913BF" w:rsidRDefault="00912BDF" w:rsidP="00912BDF">
      <w:pPr>
        <w:numPr>
          <w:ilvl w:val="0"/>
          <w:numId w:val="10"/>
        </w:numPr>
        <w:rPr>
          <w:szCs w:val="22"/>
        </w:rPr>
      </w:pPr>
      <w:r w:rsidRPr="00A913BF">
        <w:rPr>
          <w:szCs w:val="22"/>
        </w:rPr>
        <w:t>nugaros, sąnarių ir raumenų skausmas;</w:t>
      </w:r>
    </w:p>
    <w:p w14:paraId="5FF915EA" w14:textId="77777777" w:rsidR="00912BDF" w:rsidRPr="00A913BF" w:rsidRDefault="00912BDF" w:rsidP="00912BDF">
      <w:pPr>
        <w:numPr>
          <w:ilvl w:val="0"/>
          <w:numId w:val="10"/>
        </w:numPr>
        <w:rPr>
          <w:szCs w:val="22"/>
        </w:rPr>
      </w:pPr>
      <w:r w:rsidRPr="00A913BF">
        <w:rPr>
          <w:szCs w:val="22"/>
        </w:rPr>
        <w:t>sutrikusi kepenų funkcija, kepenų uždegimas (hepatitas) (dėl to galite jausti nuovargį, pastebėti, kad pagelto oda ir akių baltymai, bei panašių į gripo simptomų);</w:t>
      </w:r>
    </w:p>
    <w:p w14:paraId="71CA9C54" w14:textId="77777777" w:rsidR="00912BDF" w:rsidRPr="00A913BF" w:rsidRDefault="00912BDF" w:rsidP="00912BDF">
      <w:pPr>
        <w:numPr>
          <w:ilvl w:val="0"/>
          <w:numId w:val="10"/>
        </w:numPr>
        <w:rPr>
          <w:szCs w:val="22"/>
        </w:rPr>
      </w:pPr>
      <w:r w:rsidRPr="00A913BF">
        <w:rPr>
          <w:szCs w:val="22"/>
        </w:rPr>
        <w:t>pykinimas;</w:t>
      </w:r>
    </w:p>
    <w:p w14:paraId="04DC390E" w14:textId="77777777" w:rsidR="00912BDF" w:rsidRPr="00A913BF" w:rsidRDefault="00912BDF" w:rsidP="00912BDF">
      <w:pPr>
        <w:numPr>
          <w:ilvl w:val="0"/>
          <w:numId w:val="10"/>
        </w:numPr>
        <w:rPr>
          <w:szCs w:val="22"/>
        </w:rPr>
      </w:pPr>
      <w:r w:rsidRPr="00A913BF">
        <w:rPr>
          <w:szCs w:val="22"/>
        </w:rPr>
        <w:t>pakitę kraujo tyrimų duomenys:</w:t>
      </w:r>
    </w:p>
    <w:p w14:paraId="0F858F5A" w14:textId="77777777" w:rsidR="00912BDF" w:rsidRPr="00A913BF" w:rsidRDefault="00912BDF" w:rsidP="00912BDF">
      <w:pPr>
        <w:numPr>
          <w:ilvl w:val="0"/>
          <w:numId w:val="15"/>
        </w:numPr>
        <w:ind w:left="1080"/>
        <w:rPr>
          <w:szCs w:val="22"/>
        </w:rPr>
      </w:pPr>
      <w:r w:rsidRPr="00A913BF">
        <w:rPr>
          <w:szCs w:val="22"/>
        </w:rPr>
        <w:t>sumažėjęs natrio kiekis kraujyje (jam labai sumažėjus, galite jausti nuovargį, energijos stygių ar mėšlungį);</w:t>
      </w:r>
    </w:p>
    <w:p w14:paraId="11D92B31" w14:textId="77777777" w:rsidR="00912BDF" w:rsidRDefault="00912BDF" w:rsidP="00912BDF">
      <w:pPr>
        <w:numPr>
          <w:ilvl w:val="0"/>
          <w:numId w:val="14"/>
        </w:numPr>
        <w:tabs>
          <w:tab w:val="left" w:pos="540"/>
        </w:tabs>
        <w:ind w:left="340"/>
        <w:rPr>
          <w:szCs w:val="22"/>
        </w:rPr>
      </w:pPr>
      <w:r w:rsidRPr="00A913BF">
        <w:rPr>
          <w:szCs w:val="22"/>
        </w:rPr>
        <w:t>kosulys.</w:t>
      </w:r>
    </w:p>
    <w:p w14:paraId="535AB2D1" w14:textId="77777777" w:rsidR="00E379D1" w:rsidRDefault="00E379D1" w:rsidP="00E379D1">
      <w:pPr>
        <w:tabs>
          <w:tab w:val="left" w:pos="540"/>
        </w:tabs>
        <w:rPr>
          <w:szCs w:val="22"/>
        </w:rPr>
      </w:pPr>
    </w:p>
    <w:p w14:paraId="598AE8B8" w14:textId="77777777" w:rsidR="00E379D1" w:rsidRPr="00E379D1" w:rsidRDefault="00E379D1" w:rsidP="00B1113D">
      <w:pPr>
        <w:tabs>
          <w:tab w:val="left" w:pos="540"/>
        </w:tabs>
        <w:rPr>
          <w:b/>
          <w:szCs w:val="22"/>
        </w:rPr>
      </w:pPr>
      <w:r w:rsidRPr="00E379D1">
        <w:rPr>
          <w:b/>
          <w:szCs w:val="22"/>
        </w:rPr>
        <w:t>Dažnis nežinomas</w:t>
      </w:r>
      <w:r w:rsidR="00B1113D">
        <w:rPr>
          <w:b/>
          <w:szCs w:val="22"/>
        </w:rPr>
        <w:t xml:space="preserve"> </w:t>
      </w:r>
      <w:r w:rsidR="00B1113D" w:rsidRPr="00B1113D">
        <w:rPr>
          <w:b/>
          <w:szCs w:val="22"/>
        </w:rPr>
        <w:t xml:space="preserve">(negali būti </w:t>
      </w:r>
      <w:r w:rsidR="00475102">
        <w:rPr>
          <w:b/>
          <w:szCs w:val="22"/>
        </w:rPr>
        <w:t>apskaičiuo</w:t>
      </w:r>
      <w:r w:rsidR="00475102" w:rsidRPr="00B1113D">
        <w:rPr>
          <w:b/>
          <w:szCs w:val="22"/>
        </w:rPr>
        <w:t>tas</w:t>
      </w:r>
      <w:r w:rsidR="00475102">
        <w:rPr>
          <w:b/>
          <w:szCs w:val="22"/>
        </w:rPr>
        <w:t xml:space="preserve"> </w:t>
      </w:r>
      <w:r w:rsidR="00B1113D">
        <w:rPr>
          <w:b/>
          <w:szCs w:val="22"/>
        </w:rPr>
        <w:t>pagal turimus duomenis</w:t>
      </w:r>
      <w:r w:rsidR="00DB79A0" w:rsidRPr="00DB79A0">
        <w:rPr>
          <w:b/>
          <w:bCs/>
          <w:szCs w:val="22"/>
        </w:rPr>
        <w:t>)</w:t>
      </w:r>
      <w:r w:rsidR="00172867" w:rsidRPr="00DB79A0">
        <w:rPr>
          <w:b/>
          <w:szCs w:val="22"/>
        </w:rPr>
        <w:t>:</w:t>
      </w:r>
    </w:p>
    <w:p w14:paraId="410ED128" w14:textId="77777777" w:rsidR="00E379D1" w:rsidRPr="00A913BF" w:rsidRDefault="00E379D1" w:rsidP="00E379D1">
      <w:pPr>
        <w:numPr>
          <w:ilvl w:val="0"/>
          <w:numId w:val="23"/>
        </w:numPr>
        <w:tabs>
          <w:tab w:val="left" w:pos="540"/>
        </w:tabs>
        <w:ind w:left="567" w:hanging="567"/>
        <w:rPr>
          <w:szCs w:val="22"/>
        </w:rPr>
      </w:pPr>
      <w:r>
        <w:rPr>
          <w:szCs w:val="22"/>
        </w:rPr>
        <w:t>viduriavimas.</w:t>
      </w:r>
    </w:p>
    <w:p w14:paraId="707ABE19" w14:textId="77777777" w:rsidR="00912BDF" w:rsidRPr="00A913BF" w:rsidRDefault="00912BDF" w:rsidP="00912BDF">
      <w:pPr>
        <w:rPr>
          <w:szCs w:val="22"/>
        </w:rPr>
      </w:pPr>
    </w:p>
    <w:p w14:paraId="2FDBCBBB" w14:textId="77777777" w:rsidR="00912BDF" w:rsidRDefault="00912BDF" w:rsidP="00912BDF">
      <w:pPr>
        <w:rPr>
          <w:szCs w:val="22"/>
        </w:rPr>
      </w:pPr>
      <w:r w:rsidRPr="00C5208E">
        <w:rPr>
          <w:b/>
        </w:rPr>
        <w:t>Kitas šalutinis poveikis, kuris gali pasireikšti vaikams</w:t>
      </w:r>
    </w:p>
    <w:p w14:paraId="1E238826" w14:textId="77777777" w:rsidR="00912BDF" w:rsidRPr="00A913BF" w:rsidRDefault="00912BDF" w:rsidP="00912BDF">
      <w:pPr>
        <w:rPr>
          <w:szCs w:val="22"/>
        </w:rPr>
      </w:pPr>
      <w:r w:rsidRPr="00A913BF">
        <w:rPr>
          <w:szCs w:val="22"/>
        </w:rPr>
        <w:t>Nustatyta, kad nuo padidėjusio kraujospūdžio gydomiems vaikams šalutinis poveikis yra panašus kaip suaugusiesiems, tačiau dažnesnis. Vis dėlto pažymėtina, kad vaikams gerklės skausmas yra labai dažnas, o nosies varvėjimas, karščiavimas ir širdies susitraukimų padažnėjimas – dažnas šalutinis poveikis, tačiau suaugusiesiems šių sutrikimų neužfiksuota.</w:t>
      </w:r>
    </w:p>
    <w:p w14:paraId="542ACAA8" w14:textId="77777777" w:rsidR="00912BDF" w:rsidRPr="00A913BF" w:rsidRDefault="00912BDF" w:rsidP="00912BDF">
      <w:pPr>
        <w:rPr>
          <w:szCs w:val="22"/>
        </w:rPr>
      </w:pPr>
    </w:p>
    <w:p w14:paraId="08AD795C" w14:textId="77777777" w:rsidR="00912BDF" w:rsidRPr="00A913BF" w:rsidRDefault="00912BDF" w:rsidP="00912BDF">
      <w:pPr>
        <w:rPr>
          <w:b/>
          <w:szCs w:val="22"/>
        </w:rPr>
      </w:pPr>
      <w:r w:rsidRPr="00A913BF">
        <w:rPr>
          <w:b/>
          <w:szCs w:val="22"/>
        </w:rPr>
        <w:t>Pranešimas apie šalutinį poveikį</w:t>
      </w:r>
    </w:p>
    <w:p w14:paraId="0215683C" w14:textId="77777777" w:rsidR="00912BDF" w:rsidRPr="00836B78" w:rsidRDefault="00912BDF" w:rsidP="00912BDF">
      <w:pPr>
        <w:ind w:right="-449"/>
        <w:rPr>
          <w:noProof/>
          <w:snapToGrid w:val="0"/>
        </w:rPr>
      </w:pPr>
      <w:r w:rsidRPr="00A913BF">
        <w:rPr>
          <w:szCs w:val="22"/>
        </w:rPr>
        <w:t xml:space="preserve">Jeigu pasireiškė šalutinis poveikis, įskaitant šiame lapelyje nenurodytą, pasakykite gydytojui. </w:t>
      </w:r>
      <w:r w:rsidRPr="00836B78">
        <w:rPr>
          <w:snapToGrid w:val="0"/>
          <w:szCs w:val="20"/>
        </w:rPr>
        <w:t>Apie šalutinį poveikį taip pat galite pranešti Valstybinei vaistų kontrolės tarnybai prie Lietuvos Respublikos sveikatos apsaugos ministerijos nemokamu t</w:t>
      </w:r>
      <w:r w:rsidRPr="00836B78">
        <w:rPr>
          <w:snapToGrid w:val="0"/>
          <w:szCs w:val="20"/>
          <w:lang w:eastAsia="zh-CN"/>
        </w:rPr>
        <w:t>elefonu 8 800 73568</w:t>
      </w:r>
      <w:r w:rsidRPr="00836B78">
        <w:rPr>
          <w:snapToGrid w:val="0"/>
          <w:szCs w:val="20"/>
        </w:rPr>
        <w:t xml:space="preserve"> arba užpildyti interneto svetainėje </w:t>
      </w:r>
      <w:hyperlink r:id="rId8" w:history="1">
        <w:r w:rsidRPr="00836B78">
          <w:rPr>
            <w:rFonts w:eastAsia="SimSun"/>
            <w:snapToGrid w:val="0"/>
            <w:color w:val="0000FF"/>
            <w:szCs w:val="20"/>
            <w:u w:val="single"/>
          </w:rPr>
          <w:t>www.vvkt.lt</w:t>
        </w:r>
      </w:hyperlink>
      <w:r w:rsidRPr="00836B78">
        <w:rPr>
          <w:snapToGrid w:val="0"/>
          <w:szCs w:val="20"/>
        </w:rPr>
        <w:t xml:space="preserve"> esančią formą ir pateikti ją Valstybinei vaistų kontrolės tarnybai prie Lietuvos Respublikos sveikatos apsaugos ministerijos vienu iš šių būdų: raštu (adresu Žirmūnų g. 139A, LT-09120 Vilnius), </w:t>
      </w:r>
      <w:r w:rsidRPr="00836B78">
        <w:rPr>
          <w:snapToGrid w:val="0"/>
          <w:szCs w:val="20"/>
          <w:lang w:eastAsia="zh-CN"/>
        </w:rPr>
        <w:t xml:space="preserve">nemokamu </w:t>
      </w:r>
      <w:r w:rsidRPr="00836B78">
        <w:rPr>
          <w:snapToGrid w:val="0"/>
          <w:szCs w:val="20"/>
        </w:rPr>
        <w:t>fakso numeriu 8 800 20131</w:t>
      </w:r>
      <w:r w:rsidRPr="00836B78">
        <w:rPr>
          <w:snapToGrid w:val="0"/>
          <w:szCs w:val="20"/>
          <w:lang w:eastAsia="zh-CN"/>
        </w:rPr>
        <w:t xml:space="preserve">, </w:t>
      </w:r>
      <w:r w:rsidRPr="00836B78">
        <w:rPr>
          <w:snapToGrid w:val="0"/>
          <w:szCs w:val="20"/>
        </w:rPr>
        <w:t xml:space="preserve">el. paštu </w:t>
      </w:r>
      <w:hyperlink r:id="rId9" w:history="1">
        <w:r w:rsidRPr="009842F7">
          <w:rPr>
            <w:rFonts w:eastAsia="SimSun"/>
            <w:color w:val="0000FF"/>
            <w:u w:val="single"/>
          </w:rPr>
          <w:t>NepageidaujamaR@vvkt.lt</w:t>
        </w:r>
      </w:hyperlink>
      <w:r w:rsidRPr="00836B78">
        <w:rPr>
          <w:snapToGrid w:val="0"/>
          <w:szCs w:val="20"/>
        </w:rPr>
        <w:t xml:space="preserve">, taip pat per Valstybinės vaistų kontrolės tarnybos prie Lietuvos Respublikos sveikatos apsaugos ministerijos interneto svetainę (adresu </w:t>
      </w:r>
      <w:hyperlink r:id="rId10" w:history="1">
        <w:r w:rsidRPr="00836B78">
          <w:rPr>
            <w:rFonts w:eastAsia="SimSun"/>
            <w:snapToGrid w:val="0"/>
            <w:color w:val="0000FF"/>
            <w:szCs w:val="20"/>
            <w:u w:val="single"/>
          </w:rPr>
          <w:t>http://www.vvkt.lt</w:t>
        </w:r>
      </w:hyperlink>
      <w:r w:rsidRPr="00836B78">
        <w:rPr>
          <w:snapToGrid w:val="0"/>
          <w:szCs w:val="20"/>
        </w:rPr>
        <w:t>). Pranešdami apie šalutinį poveikį galite mums padėti gauti daugiau informacijos apie šio vaisto saugumą.</w:t>
      </w:r>
    </w:p>
    <w:p w14:paraId="0A4C86EA" w14:textId="77777777" w:rsidR="00912BDF" w:rsidRPr="00A913BF" w:rsidRDefault="00912BDF" w:rsidP="00912BDF">
      <w:pPr>
        <w:rPr>
          <w:szCs w:val="22"/>
        </w:rPr>
      </w:pPr>
    </w:p>
    <w:p w14:paraId="34E06C91" w14:textId="77777777" w:rsidR="00912BDF" w:rsidRPr="00A913BF" w:rsidRDefault="00912BDF" w:rsidP="00912BDF">
      <w:pPr>
        <w:numPr>
          <w:ilvl w:val="12"/>
          <w:numId w:val="0"/>
        </w:numPr>
        <w:ind w:right="-2"/>
        <w:rPr>
          <w:szCs w:val="22"/>
        </w:rPr>
      </w:pPr>
    </w:p>
    <w:p w14:paraId="20B1D1EE" w14:textId="77777777" w:rsidR="00912BDF" w:rsidRPr="00A913BF" w:rsidRDefault="00912BDF" w:rsidP="00912BDF">
      <w:pPr>
        <w:numPr>
          <w:ilvl w:val="12"/>
          <w:numId w:val="0"/>
        </w:numPr>
        <w:ind w:right="-2"/>
        <w:rPr>
          <w:szCs w:val="22"/>
        </w:rPr>
      </w:pPr>
    </w:p>
    <w:p w14:paraId="60CF6B31" w14:textId="77777777" w:rsidR="00912BDF" w:rsidRPr="00A913BF" w:rsidRDefault="00912BDF" w:rsidP="00912BDF">
      <w:pPr>
        <w:numPr>
          <w:ilvl w:val="12"/>
          <w:numId w:val="0"/>
        </w:numPr>
        <w:ind w:left="567" w:right="-2" w:hanging="567"/>
        <w:rPr>
          <w:szCs w:val="22"/>
        </w:rPr>
      </w:pPr>
      <w:r w:rsidRPr="00A913BF">
        <w:rPr>
          <w:b/>
          <w:szCs w:val="22"/>
        </w:rPr>
        <w:t>5.</w:t>
      </w:r>
      <w:r w:rsidRPr="00A913BF">
        <w:rPr>
          <w:b/>
          <w:szCs w:val="22"/>
        </w:rPr>
        <w:tab/>
        <w:t>Kaip laikyti Atacand</w:t>
      </w:r>
    </w:p>
    <w:p w14:paraId="10502330" w14:textId="77777777" w:rsidR="00912BDF" w:rsidRPr="00A913BF" w:rsidRDefault="00912BDF" w:rsidP="00912BDF">
      <w:pPr>
        <w:rPr>
          <w:szCs w:val="22"/>
        </w:rPr>
      </w:pPr>
    </w:p>
    <w:p w14:paraId="6D62A547" w14:textId="77777777" w:rsidR="00912BDF" w:rsidRPr="00A913BF" w:rsidRDefault="00912BDF" w:rsidP="00912BDF">
      <w:pPr>
        <w:numPr>
          <w:ilvl w:val="0"/>
          <w:numId w:val="17"/>
        </w:numPr>
        <w:ind w:left="426"/>
        <w:rPr>
          <w:szCs w:val="22"/>
        </w:rPr>
      </w:pPr>
      <w:r w:rsidRPr="00A913BF">
        <w:rPr>
          <w:szCs w:val="22"/>
        </w:rPr>
        <w:t>Šį vaistą laikykite vaikams nepastebimoje ir nepasiekiamoje vietoje.</w:t>
      </w:r>
    </w:p>
    <w:p w14:paraId="7C6B8183" w14:textId="77777777" w:rsidR="00912BDF" w:rsidRPr="00A913BF" w:rsidRDefault="00912BDF" w:rsidP="00912BDF">
      <w:pPr>
        <w:numPr>
          <w:ilvl w:val="0"/>
          <w:numId w:val="17"/>
        </w:numPr>
        <w:ind w:left="426"/>
        <w:rPr>
          <w:szCs w:val="22"/>
        </w:rPr>
      </w:pPr>
      <w:r w:rsidRPr="00A913BF">
        <w:rPr>
          <w:szCs w:val="22"/>
        </w:rPr>
        <w:t>Ant dėžutės, lizdinės plokštelės arba buteliuko  po „Tinka iki“ nurodytam tinkamumo laikui pasibaigus, šio vaisto vartoti negalima. Vaistas tinkamas vartoti iki paskutinės nurodyto mėnesio dienos.</w:t>
      </w:r>
    </w:p>
    <w:p w14:paraId="43546E02" w14:textId="77777777" w:rsidR="00912BDF" w:rsidRPr="00A913BF" w:rsidRDefault="00912BDF" w:rsidP="00912BDF">
      <w:pPr>
        <w:numPr>
          <w:ilvl w:val="0"/>
          <w:numId w:val="17"/>
        </w:numPr>
        <w:ind w:left="426"/>
        <w:rPr>
          <w:szCs w:val="22"/>
        </w:rPr>
      </w:pPr>
      <w:r w:rsidRPr="00A913BF">
        <w:rPr>
          <w:rFonts w:eastAsia="SimSun"/>
          <w:szCs w:val="22"/>
          <w:lang w:eastAsia="zh-CN"/>
        </w:rPr>
        <w:t>Šio vaistinio preparato laikymui specialių temperatūros sąlygų nereikalaujama.</w:t>
      </w:r>
    </w:p>
    <w:p w14:paraId="190D2077" w14:textId="77777777" w:rsidR="00912BDF" w:rsidRPr="00A913BF" w:rsidRDefault="00912BDF" w:rsidP="00912BDF">
      <w:pPr>
        <w:rPr>
          <w:szCs w:val="22"/>
        </w:rPr>
      </w:pPr>
    </w:p>
    <w:p w14:paraId="27A331A0" w14:textId="77777777" w:rsidR="00912BDF" w:rsidRPr="00A913BF" w:rsidRDefault="00912BDF" w:rsidP="00912BDF">
      <w:pPr>
        <w:rPr>
          <w:szCs w:val="22"/>
        </w:rPr>
      </w:pPr>
      <w:r w:rsidRPr="00A913BF">
        <w:rPr>
          <w:szCs w:val="22"/>
        </w:rPr>
        <w:t>Vaistų negalima išmesti į kanalizaciją arba su buitinėmis atliekomis. Kaip išmesti nereikalingus vaistus, klauskite vaistininko. Šios priemonės padės apsaugoti aplinką.</w:t>
      </w:r>
    </w:p>
    <w:p w14:paraId="3AB38A09" w14:textId="77777777" w:rsidR="00912BDF" w:rsidRPr="00A913BF" w:rsidRDefault="00912BDF" w:rsidP="00912BDF">
      <w:pPr>
        <w:numPr>
          <w:ilvl w:val="12"/>
          <w:numId w:val="0"/>
        </w:numPr>
        <w:ind w:right="-2"/>
        <w:rPr>
          <w:szCs w:val="22"/>
        </w:rPr>
      </w:pPr>
    </w:p>
    <w:p w14:paraId="14C35CFB" w14:textId="77777777" w:rsidR="00912BDF" w:rsidRPr="00A913BF" w:rsidRDefault="00912BDF" w:rsidP="00912BDF">
      <w:pPr>
        <w:numPr>
          <w:ilvl w:val="12"/>
          <w:numId w:val="0"/>
        </w:numPr>
        <w:ind w:right="-2"/>
        <w:rPr>
          <w:szCs w:val="22"/>
        </w:rPr>
      </w:pPr>
    </w:p>
    <w:p w14:paraId="25D2B744" w14:textId="77777777" w:rsidR="00912BDF" w:rsidRPr="00A913BF" w:rsidRDefault="00912BDF" w:rsidP="00912BDF">
      <w:pPr>
        <w:numPr>
          <w:ilvl w:val="12"/>
          <w:numId w:val="0"/>
        </w:numPr>
        <w:ind w:left="540" w:right="-2" w:hanging="540"/>
        <w:rPr>
          <w:b/>
          <w:szCs w:val="22"/>
        </w:rPr>
      </w:pPr>
      <w:r w:rsidRPr="00A913BF">
        <w:rPr>
          <w:b/>
          <w:szCs w:val="22"/>
        </w:rPr>
        <w:t>6.</w:t>
      </w:r>
      <w:r w:rsidRPr="00A913BF">
        <w:rPr>
          <w:b/>
          <w:szCs w:val="22"/>
        </w:rPr>
        <w:tab/>
        <w:t>Pakuotės turinys ir kita informacija</w:t>
      </w:r>
    </w:p>
    <w:p w14:paraId="1FCD7A61" w14:textId="77777777" w:rsidR="00912BDF" w:rsidRPr="00A913BF" w:rsidRDefault="00912BDF" w:rsidP="00912BDF">
      <w:pPr>
        <w:numPr>
          <w:ilvl w:val="12"/>
          <w:numId w:val="0"/>
        </w:numPr>
        <w:ind w:right="-2"/>
        <w:rPr>
          <w:szCs w:val="22"/>
        </w:rPr>
      </w:pPr>
    </w:p>
    <w:p w14:paraId="28DCAA70" w14:textId="77777777" w:rsidR="00912BDF" w:rsidRPr="00A913BF" w:rsidRDefault="00912BDF" w:rsidP="00912BDF">
      <w:pPr>
        <w:autoSpaceDE w:val="0"/>
        <w:autoSpaceDN w:val="0"/>
        <w:adjustRightInd w:val="0"/>
        <w:rPr>
          <w:b/>
          <w:bCs/>
          <w:szCs w:val="22"/>
          <w:lang w:eastAsia="lt-LT"/>
        </w:rPr>
      </w:pPr>
      <w:r w:rsidRPr="00A913BF">
        <w:rPr>
          <w:b/>
          <w:bCs/>
          <w:szCs w:val="22"/>
          <w:lang w:eastAsia="lt-LT"/>
        </w:rPr>
        <w:t>Atacand sudėtis</w:t>
      </w:r>
    </w:p>
    <w:p w14:paraId="3483644E" w14:textId="77777777" w:rsidR="00912BDF" w:rsidRPr="00A913BF" w:rsidRDefault="00912BDF" w:rsidP="00912BDF">
      <w:pPr>
        <w:pStyle w:val="Sraopastraipa"/>
        <w:numPr>
          <w:ilvl w:val="0"/>
          <w:numId w:val="18"/>
        </w:numPr>
        <w:autoSpaceDE w:val="0"/>
        <w:autoSpaceDN w:val="0"/>
        <w:adjustRightInd w:val="0"/>
        <w:rPr>
          <w:szCs w:val="22"/>
          <w:lang w:eastAsia="lt-LT"/>
        </w:rPr>
      </w:pPr>
      <w:r w:rsidRPr="00A913BF">
        <w:rPr>
          <w:szCs w:val="22"/>
          <w:lang w:eastAsia="lt-LT"/>
        </w:rPr>
        <w:lastRenderedPageBreak/>
        <w:t>Veiklioji medžiaga yra kandesartano cileksetilas. Kiekvienoje tabletėje yra 4 mg</w:t>
      </w:r>
      <w:r w:rsidRPr="00C45350">
        <w:rPr>
          <w:highlight w:val="lightGray"/>
        </w:rPr>
        <w:t>, 8 mg, 16 mg arba 32 mg</w:t>
      </w:r>
      <w:r w:rsidRPr="00A913BF">
        <w:rPr>
          <w:szCs w:val="22"/>
          <w:lang w:eastAsia="lt-LT"/>
        </w:rPr>
        <w:t xml:space="preserve"> kandesartano cileksetilo.</w:t>
      </w:r>
    </w:p>
    <w:p w14:paraId="2FABC11B" w14:textId="77777777" w:rsidR="00912BDF" w:rsidRPr="00A913BF" w:rsidRDefault="00912BDF" w:rsidP="00912BDF">
      <w:pPr>
        <w:pStyle w:val="Sraopastraipa"/>
        <w:numPr>
          <w:ilvl w:val="0"/>
          <w:numId w:val="18"/>
        </w:numPr>
        <w:autoSpaceDE w:val="0"/>
        <w:autoSpaceDN w:val="0"/>
        <w:adjustRightInd w:val="0"/>
        <w:rPr>
          <w:szCs w:val="22"/>
          <w:lang w:eastAsia="lt-LT"/>
        </w:rPr>
      </w:pPr>
      <w:r w:rsidRPr="00A913BF">
        <w:rPr>
          <w:szCs w:val="22"/>
          <w:lang w:eastAsia="lt-LT"/>
        </w:rPr>
        <w:t xml:space="preserve">Pagalbinės medžiagos yra karmeliozės kalcio druska, hidroksipropilceliuliozė, laktozė monohidratas, magnio stearatas, kukurūzų krakmolas, makrogolis </w:t>
      </w:r>
      <w:r w:rsidRPr="00C45350">
        <w:rPr>
          <w:highlight w:val="lightGray"/>
        </w:rPr>
        <w:t>ir (8 mg, 16 mg, 32 mg tabletėse) geležies oksidas (E172)</w:t>
      </w:r>
      <w:r w:rsidRPr="00A913BF">
        <w:rPr>
          <w:szCs w:val="22"/>
          <w:lang w:eastAsia="lt-LT"/>
        </w:rPr>
        <w:t>.</w:t>
      </w:r>
    </w:p>
    <w:p w14:paraId="6B1BE832" w14:textId="77777777" w:rsidR="00912BDF" w:rsidRPr="00A913BF" w:rsidRDefault="00912BDF" w:rsidP="00912BDF">
      <w:pPr>
        <w:rPr>
          <w:szCs w:val="22"/>
        </w:rPr>
      </w:pPr>
    </w:p>
    <w:p w14:paraId="28A7B9A1" w14:textId="77777777" w:rsidR="00912BDF" w:rsidRPr="00A913BF" w:rsidRDefault="00912BDF" w:rsidP="00912BDF">
      <w:pPr>
        <w:autoSpaceDE w:val="0"/>
        <w:autoSpaceDN w:val="0"/>
        <w:adjustRightInd w:val="0"/>
        <w:rPr>
          <w:b/>
          <w:bCs/>
          <w:szCs w:val="22"/>
          <w:lang w:eastAsia="lt-LT"/>
        </w:rPr>
      </w:pPr>
      <w:r w:rsidRPr="00A913BF">
        <w:rPr>
          <w:b/>
          <w:bCs/>
          <w:szCs w:val="22"/>
          <w:lang w:eastAsia="lt-LT"/>
        </w:rPr>
        <w:t>Atacand išvaizda ir kiekis pakuotėje</w:t>
      </w:r>
    </w:p>
    <w:p w14:paraId="45892BE1" w14:textId="77777777" w:rsidR="00912BDF" w:rsidRPr="00A913BF" w:rsidRDefault="00912BDF" w:rsidP="00912BDF">
      <w:pPr>
        <w:numPr>
          <w:ilvl w:val="0"/>
          <w:numId w:val="17"/>
        </w:numPr>
        <w:ind w:left="426"/>
        <w:rPr>
          <w:szCs w:val="22"/>
        </w:rPr>
      </w:pPr>
      <w:r w:rsidRPr="00A913BF">
        <w:rPr>
          <w:szCs w:val="22"/>
        </w:rPr>
        <w:t>4 mg tabletė yra balta, apvali, su vagele ir žyma “A/CF” vienoje pusėje bei “004” – kitoje.</w:t>
      </w:r>
    </w:p>
    <w:p w14:paraId="3A654123" w14:textId="77777777" w:rsidR="00912BDF" w:rsidRPr="00C45350" w:rsidRDefault="00912BDF" w:rsidP="00912BDF">
      <w:pPr>
        <w:numPr>
          <w:ilvl w:val="0"/>
          <w:numId w:val="17"/>
        </w:numPr>
        <w:ind w:left="426"/>
        <w:rPr>
          <w:highlight w:val="lightGray"/>
        </w:rPr>
      </w:pPr>
      <w:r w:rsidRPr="00C45350">
        <w:rPr>
          <w:highlight w:val="lightGray"/>
        </w:rPr>
        <w:t>8 mg tabletė yra šviesiai rožinė, apvali, su vagele ir žyma “A/CG” vienoje pusėje bei “008” – kitoje.</w:t>
      </w:r>
    </w:p>
    <w:p w14:paraId="5980B2DB" w14:textId="77777777" w:rsidR="00912BDF" w:rsidRPr="00C45350" w:rsidRDefault="00912BDF" w:rsidP="00912BDF">
      <w:pPr>
        <w:numPr>
          <w:ilvl w:val="0"/>
          <w:numId w:val="17"/>
        </w:numPr>
        <w:ind w:left="426"/>
        <w:rPr>
          <w:highlight w:val="lightGray"/>
        </w:rPr>
      </w:pPr>
      <w:r w:rsidRPr="00C45350">
        <w:rPr>
          <w:highlight w:val="lightGray"/>
        </w:rPr>
        <w:t>16 mg tabletė yra rožinė, apvali, su vagele ir žyma “A/CH” vienoje pusėje bei “016” – kitoje.</w:t>
      </w:r>
    </w:p>
    <w:p w14:paraId="395A5EEA" w14:textId="77777777" w:rsidR="00912BDF" w:rsidRPr="00C45350" w:rsidRDefault="00912BDF" w:rsidP="00912BDF">
      <w:pPr>
        <w:numPr>
          <w:ilvl w:val="0"/>
          <w:numId w:val="17"/>
        </w:numPr>
        <w:ind w:left="426"/>
        <w:rPr>
          <w:highlight w:val="lightGray"/>
        </w:rPr>
      </w:pPr>
      <w:r w:rsidRPr="00C45350">
        <w:rPr>
          <w:highlight w:val="lightGray"/>
        </w:rPr>
        <w:t>32 mg tabletė yra rožinė, apvali, su vagele ir žyma “A/CL” vienoje pusėje bei “032” – kitoje.</w:t>
      </w:r>
    </w:p>
    <w:p w14:paraId="5AF80B4D" w14:textId="77777777" w:rsidR="00912BDF" w:rsidRPr="00A913BF" w:rsidRDefault="00912BDF" w:rsidP="00912BDF">
      <w:pPr>
        <w:autoSpaceDE w:val="0"/>
        <w:autoSpaceDN w:val="0"/>
        <w:adjustRightInd w:val="0"/>
        <w:rPr>
          <w:szCs w:val="22"/>
          <w:lang w:eastAsia="lt-LT"/>
        </w:rPr>
      </w:pPr>
    </w:p>
    <w:p w14:paraId="78D67012" w14:textId="77777777" w:rsidR="00912BDF" w:rsidRPr="00A913BF" w:rsidRDefault="00912BDF" w:rsidP="00912BDF">
      <w:pPr>
        <w:autoSpaceDE w:val="0"/>
        <w:autoSpaceDN w:val="0"/>
        <w:adjustRightInd w:val="0"/>
        <w:rPr>
          <w:szCs w:val="22"/>
        </w:rPr>
      </w:pPr>
      <w:r w:rsidRPr="00A913BF">
        <w:rPr>
          <w:szCs w:val="22"/>
        </w:rPr>
        <w:t>Tabletę galima padalyti į lygias dozes perlaužus vagelės vietoje.</w:t>
      </w:r>
    </w:p>
    <w:p w14:paraId="55966058" w14:textId="77777777" w:rsidR="00912BDF" w:rsidRPr="00A913BF" w:rsidRDefault="00912BDF" w:rsidP="00912BDF">
      <w:pPr>
        <w:autoSpaceDE w:val="0"/>
        <w:autoSpaceDN w:val="0"/>
        <w:adjustRightInd w:val="0"/>
        <w:rPr>
          <w:szCs w:val="22"/>
          <w:lang w:eastAsia="lt-LT"/>
        </w:rPr>
      </w:pPr>
    </w:p>
    <w:p w14:paraId="04FAE8EA" w14:textId="77777777" w:rsidR="00912BDF" w:rsidRPr="00A913BF" w:rsidRDefault="00912BDF" w:rsidP="00912BDF">
      <w:pPr>
        <w:rPr>
          <w:szCs w:val="22"/>
        </w:rPr>
      </w:pPr>
      <w:r w:rsidRPr="00A913BF">
        <w:rPr>
          <w:szCs w:val="22"/>
          <w:lang w:eastAsia="lt-LT"/>
        </w:rPr>
        <w:t xml:space="preserve">Tabletės tiekiamos plastikiniame buteliuke po 100 ar 250 tablečių arba lizdinių plokštelių pakuotėje po </w:t>
      </w:r>
      <w:r w:rsidRPr="00A913BF">
        <w:rPr>
          <w:szCs w:val="22"/>
        </w:rPr>
        <w:t>7, 14, 15, 15x1, 20, 28, 30, 30x1, 50, 50x1, 56, 90, 98, 98x1, 100 ar 300 tablečių</w:t>
      </w:r>
      <w:r w:rsidRPr="00A913BF">
        <w:rPr>
          <w:szCs w:val="22"/>
          <w:lang w:eastAsia="lt-LT"/>
        </w:rPr>
        <w:t>.</w:t>
      </w:r>
    </w:p>
    <w:p w14:paraId="28C5FD6D" w14:textId="77777777" w:rsidR="00912BDF" w:rsidRPr="00A913BF" w:rsidRDefault="00912BDF" w:rsidP="00912BDF">
      <w:pPr>
        <w:autoSpaceDE w:val="0"/>
        <w:autoSpaceDN w:val="0"/>
        <w:adjustRightInd w:val="0"/>
        <w:rPr>
          <w:szCs w:val="22"/>
          <w:lang w:eastAsia="lt-LT"/>
        </w:rPr>
      </w:pPr>
    </w:p>
    <w:p w14:paraId="4E97FCB6" w14:textId="77777777" w:rsidR="00912BDF" w:rsidRPr="00A913BF" w:rsidRDefault="00912BDF" w:rsidP="00912BDF">
      <w:pPr>
        <w:autoSpaceDE w:val="0"/>
        <w:autoSpaceDN w:val="0"/>
        <w:adjustRightInd w:val="0"/>
        <w:rPr>
          <w:szCs w:val="22"/>
        </w:rPr>
      </w:pPr>
      <w:r w:rsidRPr="00A913BF">
        <w:rPr>
          <w:szCs w:val="22"/>
        </w:rPr>
        <w:t>Gali būti tiekiamos ne visų dydžių pakuotės.</w:t>
      </w:r>
    </w:p>
    <w:p w14:paraId="37C6C236" w14:textId="77777777" w:rsidR="00912BDF" w:rsidRPr="00A913BF" w:rsidRDefault="00912BDF" w:rsidP="00912BDF">
      <w:pPr>
        <w:autoSpaceDE w:val="0"/>
        <w:autoSpaceDN w:val="0"/>
        <w:adjustRightInd w:val="0"/>
        <w:rPr>
          <w:szCs w:val="22"/>
          <w:lang w:eastAsia="lt-LT"/>
        </w:rPr>
      </w:pPr>
    </w:p>
    <w:p w14:paraId="5F156144" w14:textId="77777777" w:rsidR="00912BDF" w:rsidRPr="00A913BF" w:rsidRDefault="00912BDF" w:rsidP="00912BDF">
      <w:pPr>
        <w:autoSpaceDE w:val="0"/>
        <w:autoSpaceDN w:val="0"/>
        <w:adjustRightInd w:val="0"/>
        <w:rPr>
          <w:b/>
          <w:bCs/>
          <w:szCs w:val="22"/>
          <w:lang w:eastAsia="lt-LT"/>
        </w:rPr>
      </w:pPr>
      <w:r w:rsidRPr="00A913BF">
        <w:rPr>
          <w:b/>
          <w:bCs/>
          <w:szCs w:val="22"/>
          <w:lang w:eastAsia="lt-LT"/>
        </w:rPr>
        <w:t>R</w:t>
      </w:r>
      <w:r>
        <w:rPr>
          <w:b/>
          <w:bCs/>
          <w:szCs w:val="22"/>
          <w:lang w:eastAsia="lt-LT"/>
        </w:rPr>
        <w:t>egistruotojas</w:t>
      </w:r>
      <w:r w:rsidRPr="00A913BF">
        <w:rPr>
          <w:b/>
          <w:bCs/>
          <w:szCs w:val="22"/>
          <w:lang w:eastAsia="lt-LT"/>
        </w:rPr>
        <w:t xml:space="preserve"> ir gamintojas</w:t>
      </w:r>
    </w:p>
    <w:p w14:paraId="52414AC3" w14:textId="77777777" w:rsidR="00912BDF" w:rsidRPr="00A913BF" w:rsidRDefault="00912BDF" w:rsidP="00912BDF">
      <w:pPr>
        <w:autoSpaceDE w:val="0"/>
        <w:autoSpaceDN w:val="0"/>
        <w:adjustRightInd w:val="0"/>
        <w:rPr>
          <w:szCs w:val="22"/>
          <w:lang w:eastAsia="lt-LT"/>
        </w:rPr>
      </w:pPr>
    </w:p>
    <w:p w14:paraId="2DDE0B9C" w14:textId="77777777" w:rsidR="00912BDF" w:rsidRPr="00A913BF" w:rsidRDefault="00912BDF" w:rsidP="00912BDF">
      <w:pPr>
        <w:autoSpaceDE w:val="0"/>
        <w:autoSpaceDN w:val="0"/>
        <w:adjustRightInd w:val="0"/>
        <w:rPr>
          <w:i/>
          <w:szCs w:val="22"/>
          <w:lang w:eastAsia="lt-LT"/>
        </w:rPr>
      </w:pPr>
      <w:r w:rsidRPr="00A913BF">
        <w:rPr>
          <w:i/>
          <w:szCs w:val="22"/>
          <w:lang w:eastAsia="lt-LT"/>
        </w:rPr>
        <w:t>R</w:t>
      </w:r>
      <w:r>
        <w:rPr>
          <w:i/>
          <w:szCs w:val="22"/>
          <w:lang w:eastAsia="lt-LT"/>
        </w:rPr>
        <w:t>egistruotojas</w:t>
      </w:r>
    </w:p>
    <w:p w14:paraId="4DF6E64E" w14:textId="77777777" w:rsidR="00150E2A" w:rsidRDefault="00150E2A" w:rsidP="00150E2A">
      <w:pPr>
        <w:rPr>
          <w:szCs w:val="22"/>
        </w:rPr>
      </w:pPr>
      <w:r w:rsidRPr="003422CA">
        <w:rPr>
          <w:szCs w:val="22"/>
        </w:rPr>
        <w:t>CHEPLAPHARM Arzneimittel GmbH</w:t>
      </w:r>
      <w:r>
        <w:rPr>
          <w:szCs w:val="22"/>
        </w:rPr>
        <w:t xml:space="preserve"> </w:t>
      </w:r>
    </w:p>
    <w:p w14:paraId="13EE2C09" w14:textId="77777777" w:rsidR="00150E2A" w:rsidRDefault="00150E2A" w:rsidP="00150E2A">
      <w:pPr>
        <w:rPr>
          <w:szCs w:val="22"/>
        </w:rPr>
      </w:pPr>
      <w:r w:rsidRPr="003422CA">
        <w:rPr>
          <w:szCs w:val="22"/>
        </w:rPr>
        <w:t>Ziegelhof 24</w:t>
      </w:r>
      <w:r>
        <w:rPr>
          <w:szCs w:val="22"/>
        </w:rPr>
        <w:t xml:space="preserve"> </w:t>
      </w:r>
    </w:p>
    <w:p w14:paraId="331C05C0" w14:textId="77777777" w:rsidR="00150E2A" w:rsidRDefault="00150E2A" w:rsidP="00150E2A">
      <w:pPr>
        <w:rPr>
          <w:szCs w:val="22"/>
        </w:rPr>
      </w:pPr>
      <w:r w:rsidRPr="003422CA">
        <w:rPr>
          <w:szCs w:val="22"/>
        </w:rPr>
        <w:t>17489 Greifswald</w:t>
      </w:r>
      <w:r>
        <w:rPr>
          <w:szCs w:val="22"/>
        </w:rPr>
        <w:t xml:space="preserve"> </w:t>
      </w:r>
    </w:p>
    <w:p w14:paraId="55155E3B" w14:textId="77777777" w:rsidR="00150E2A" w:rsidRDefault="00150E2A" w:rsidP="00150E2A">
      <w:pPr>
        <w:rPr>
          <w:szCs w:val="22"/>
        </w:rPr>
      </w:pPr>
      <w:r w:rsidRPr="003422CA">
        <w:rPr>
          <w:szCs w:val="22"/>
        </w:rPr>
        <w:t>Vokietija</w:t>
      </w:r>
    </w:p>
    <w:p w14:paraId="08FC81D2" w14:textId="77777777" w:rsidR="00912BDF" w:rsidRPr="00A913BF" w:rsidRDefault="00912BDF" w:rsidP="00912BDF">
      <w:pPr>
        <w:autoSpaceDE w:val="0"/>
        <w:autoSpaceDN w:val="0"/>
        <w:adjustRightInd w:val="0"/>
        <w:rPr>
          <w:szCs w:val="22"/>
          <w:lang w:eastAsia="lt-LT"/>
        </w:rPr>
      </w:pPr>
    </w:p>
    <w:p w14:paraId="5A0CFB34" w14:textId="77777777" w:rsidR="00912BDF" w:rsidRPr="00A913BF" w:rsidRDefault="00912BDF" w:rsidP="00912BDF">
      <w:pPr>
        <w:autoSpaceDE w:val="0"/>
        <w:autoSpaceDN w:val="0"/>
        <w:adjustRightInd w:val="0"/>
        <w:rPr>
          <w:bCs/>
          <w:i/>
          <w:szCs w:val="22"/>
          <w:lang w:eastAsia="lt-LT"/>
        </w:rPr>
      </w:pPr>
      <w:r w:rsidRPr="00A913BF">
        <w:rPr>
          <w:bCs/>
          <w:i/>
          <w:szCs w:val="22"/>
          <w:lang w:eastAsia="lt-LT"/>
        </w:rPr>
        <w:t>Gamintojai</w:t>
      </w:r>
    </w:p>
    <w:p w14:paraId="6D561499" w14:textId="77777777" w:rsidR="000C579E" w:rsidRDefault="000C579E" w:rsidP="000C579E">
      <w:pPr>
        <w:rPr>
          <w:szCs w:val="22"/>
        </w:rPr>
      </w:pPr>
      <w:r w:rsidRPr="00413784">
        <w:rPr>
          <w:szCs w:val="22"/>
        </w:rPr>
        <w:t>Klocke Pharma-Service GmbH</w:t>
      </w:r>
    </w:p>
    <w:p w14:paraId="1A612041" w14:textId="77777777" w:rsidR="000C579E" w:rsidRDefault="000C579E" w:rsidP="000C579E">
      <w:pPr>
        <w:rPr>
          <w:szCs w:val="22"/>
        </w:rPr>
      </w:pPr>
      <w:r w:rsidRPr="00413784">
        <w:rPr>
          <w:szCs w:val="22"/>
        </w:rPr>
        <w:t>Straßburger Str. 77</w:t>
      </w:r>
    </w:p>
    <w:p w14:paraId="1B1F1C08" w14:textId="77777777" w:rsidR="000C579E" w:rsidRDefault="000C579E" w:rsidP="000C579E">
      <w:pPr>
        <w:rPr>
          <w:szCs w:val="22"/>
        </w:rPr>
      </w:pPr>
      <w:r w:rsidRPr="00413784">
        <w:rPr>
          <w:szCs w:val="22"/>
        </w:rPr>
        <w:t>77767 Appenweier</w:t>
      </w:r>
    </w:p>
    <w:p w14:paraId="13831E26" w14:textId="77777777" w:rsidR="000C579E" w:rsidRDefault="000C579E" w:rsidP="000C579E">
      <w:pPr>
        <w:rPr>
          <w:szCs w:val="22"/>
        </w:rPr>
      </w:pPr>
      <w:r w:rsidRPr="00413784">
        <w:rPr>
          <w:szCs w:val="22"/>
        </w:rPr>
        <w:t>Vokietija</w:t>
      </w:r>
    </w:p>
    <w:p w14:paraId="282856F9" w14:textId="77777777" w:rsidR="000C579E" w:rsidRDefault="000C579E" w:rsidP="000C579E">
      <w:pPr>
        <w:rPr>
          <w:szCs w:val="22"/>
        </w:rPr>
      </w:pPr>
    </w:p>
    <w:p w14:paraId="2E9D46A8" w14:textId="77777777" w:rsidR="000C579E" w:rsidRDefault="000C579E" w:rsidP="000C579E">
      <w:pPr>
        <w:rPr>
          <w:szCs w:val="22"/>
        </w:rPr>
      </w:pPr>
      <w:r>
        <w:rPr>
          <w:szCs w:val="22"/>
        </w:rPr>
        <w:t>a</w:t>
      </w:r>
      <w:r w:rsidRPr="00413784">
        <w:rPr>
          <w:szCs w:val="22"/>
        </w:rPr>
        <w:t>rba</w:t>
      </w:r>
    </w:p>
    <w:p w14:paraId="62AC5759" w14:textId="77777777" w:rsidR="000C579E" w:rsidRDefault="000C579E" w:rsidP="000C579E">
      <w:pPr>
        <w:rPr>
          <w:szCs w:val="22"/>
        </w:rPr>
      </w:pPr>
    </w:p>
    <w:p w14:paraId="089FD3A4" w14:textId="77777777" w:rsidR="000C579E" w:rsidRDefault="000C579E" w:rsidP="000C579E">
      <w:pPr>
        <w:rPr>
          <w:szCs w:val="22"/>
        </w:rPr>
      </w:pPr>
      <w:r w:rsidRPr="00413784">
        <w:rPr>
          <w:szCs w:val="22"/>
        </w:rPr>
        <w:t>CHEPLAPHARM Arzneimittel GmbH</w:t>
      </w:r>
    </w:p>
    <w:p w14:paraId="7686FA0A" w14:textId="77777777" w:rsidR="000C579E" w:rsidRDefault="000C579E" w:rsidP="000C579E">
      <w:pPr>
        <w:rPr>
          <w:szCs w:val="22"/>
        </w:rPr>
      </w:pPr>
      <w:r w:rsidRPr="00413784">
        <w:rPr>
          <w:szCs w:val="22"/>
        </w:rPr>
        <w:t>Ziegelhof 23-24</w:t>
      </w:r>
    </w:p>
    <w:p w14:paraId="33334C11" w14:textId="77777777" w:rsidR="000C579E" w:rsidRDefault="000C579E" w:rsidP="000C579E">
      <w:pPr>
        <w:rPr>
          <w:szCs w:val="22"/>
        </w:rPr>
      </w:pPr>
      <w:r w:rsidRPr="00413784">
        <w:rPr>
          <w:szCs w:val="22"/>
        </w:rPr>
        <w:t>17489 Greifswald</w:t>
      </w:r>
    </w:p>
    <w:p w14:paraId="51F9FA85" w14:textId="77777777" w:rsidR="000C579E" w:rsidRDefault="000C579E" w:rsidP="000C579E">
      <w:pPr>
        <w:rPr>
          <w:szCs w:val="22"/>
        </w:rPr>
      </w:pPr>
      <w:r w:rsidRPr="00413784">
        <w:rPr>
          <w:szCs w:val="22"/>
        </w:rPr>
        <w:t>Vokietija</w:t>
      </w:r>
    </w:p>
    <w:p w14:paraId="7E0CB20E" w14:textId="77777777" w:rsidR="000C579E" w:rsidRDefault="000C579E" w:rsidP="000C579E">
      <w:pPr>
        <w:rPr>
          <w:szCs w:val="22"/>
        </w:rPr>
      </w:pPr>
    </w:p>
    <w:p w14:paraId="4817B8F3" w14:textId="77777777" w:rsidR="000C579E" w:rsidRDefault="000C579E" w:rsidP="000C579E">
      <w:pPr>
        <w:rPr>
          <w:szCs w:val="22"/>
        </w:rPr>
      </w:pPr>
      <w:r>
        <w:rPr>
          <w:szCs w:val="22"/>
        </w:rPr>
        <w:t>a</w:t>
      </w:r>
      <w:r w:rsidRPr="00413784">
        <w:rPr>
          <w:szCs w:val="22"/>
        </w:rPr>
        <w:t>rba</w:t>
      </w:r>
    </w:p>
    <w:p w14:paraId="2AB7EEEF" w14:textId="77777777" w:rsidR="000C579E" w:rsidRDefault="000C579E" w:rsidP="00912BDF">
      <w:pPr>
        <w:rPr>
          <w:szCs w:val="22"/>
        </w:rPr>
      </w:pPr>
    </w:p>
    <w:p w14:paraId="3F0DD049" w14:textId="5D83F76D" w:rsidR="00912BDF" w:rsidRPr="00A913BF" w:rsidRDefault="00912BDF" w:rsidP="00912BDF">
      <w:pPr>
        <w:rPr>
          <w:szCs w:val="22"/>
        </w:rPr>
      </w:pPr>
      <w:r w:rsidRPr="00A913BF">
        <w:rPr>
          <w:szCs w:val="22"/>
        </w:rPr>
        <w:t>AstraZeneca AB</w:t>
      </w:r>
    </w:p>
    <w:p w14:paraId="0FFC448F" w14:textId="77777777" w:rsidR="00912BDF" w:rsidRPr="00A913BF" w:rsidRDefault="00912BDF" w:rsidP="00912BDF">
      <w:pPr>
        <w:rPr>
          <w:szCs w:val="22"/>
        </w:rPr>
      </w:pPr>
      <w:r w:rsidRPr="00A913BF">
        <w:rPr>
          <w:szCs w:val="22"/>
        </w:rPr>
        <w:t>S-151 85 Södertälje</w:t>
      </w:r>
    </w:p>
    <w:p w14:paraId="5BDED2BA" w14:textId="77777777" w:rsidR="00912BDF" w:rsidRPr="00A913BF" w:rsidRDefault="00912BDF" w:rsidP="00912BDF">
      <w:pPr>
        <w:rPr>
          <w:szCs w:val="22"/>
        </w:rPr>
      </w:pPr>
      <w:r w:rsidRPr="00A913BF">
        <w:rPr>
          <w:szCs w:val="22"/>
        </w:rPr>
        <w:t>Švedija</w:t>
      </w:r>
    </w:p>
    <w:p w14:paraId="0E470CEE" w14:textId="77777777" w:rsidR="00912BDF" w:rsidRPr="00A913BF" w:rsidRDefault="00912BDF" w:rsidP="00912BDF">
      <w:pPr>
        <w:autoSpaceDE w:val="0"/>
        <w:autoSpaceDN w:val="0"/>
        <w:adjustRightInd w:val="0"/>
        <w:rPr>
          <w:szCs w:val="22"/>
          <w:lang w:eastAsia="lt-LT"/>
        </w:rPr>
      </w:pPr>
    </w:p>
    <w:p w14:paraId="56C42230" w14:textId="77777777" w:rsidR="00912BDF" w:rsidRPr="00A913BF" w:rsidRDefault="00912BDF" w:rsidP="00912BDF">
      <w:pPr>
        <w:rPr>
          <w:szCs w:val="22"/>
        </w:rPr>
      </w:pPr>
      <w:r w:rsidRPr="00A913BF">
        <w:rPr>
          <w:szCs w:val="22"/>
        </w:rPr>
        <w:t>arba</w:t>
      </w:r>
    </w:p>
    <w:p w14:paraId="3D607610" w14:textId="77777777" w:rsidR="00912BDF" w:rsidRPr="00A913BF" w:rsidRDefault="00912BDF" w:rsidP="00912BDF">
      <w:pPr>
        <w:rPr>
          <w:szCs w:val="22"/>
        </w:rPr>
      </w:pPr>
    </w:p>
    <w:p w14:paraId="389E097F" w14:textId="77777777" w:rsidR="00912BDF" w:rsidRPr="00A913BF" w:rsidRDefault="00912BDF" w:rsidP="00912BDF">
      <w:pPr>
        <w:rPr>
          <w:szCs w:val="22"/>
        </w:rPr>
      </w:pPr>
      <w:r w:rsidRPr="00A913BF">
        <w:rPr>
          <w:szCs w:val="22"/>
        </w:rPr>
        <w:t xml:space="preserve">AstraZeneca GmbH </w:t>
      </w:r>
    </w:p>
    <w:p w14:paraId="21DF2421" w14:textId="77777777" w:rsidR="00912BDF" w:rsidRPr="00A913BF" w:rsidRDefault="00912BDF" w:rsidP="00912BDF">
      <w:pPr>
        <w:rPr>
          <w:szCs w:val="22"/>
        </w:rPr>
      </w:pPr>
      <w:r w:rsidRPr="00A913BF">
        <w:rPr>
          <w:szCs w:val="22"/>
        </w:rPr>
        <w:t>Tinsdaler Weg 183</w:t>
      </w:r>
    </w:p>
    <w:p w14:paraId="0879DB69" w14:textId="77777777" w:rsidR="00912BDF" w:rsidRPr="00A913BF" w:rsidRDefault="00912BDF" w:rsidP="00912BDF">
      <w:pPr>
        <w:rPr>
          <w:szCs w:val="22"/>
        </w:rPr>
      </w:pPr>
      <w:r w:rsidRPr="00A913BF">
        <w:rPr>
          <w:szCs w:val="22"/>
        </w:rPr>
        <w:t>22880 Wedel</w:t>
      </w:r>
    </w:p>
    <w:p w14:paraId="45E30151" w14:textId="77777777" w:rsidR="00912BDF" w:rsidRPr="00A913BF" w:rsidRDefault="00912BDF" w:rsidP="00912BDF">
      <w:pPr>
        <w:rPr>
          <w:szCs w:val="22"/>
        </w:rPr>
      </w:pPr>
      <w:r w:rsidRPr="00A913BF">
        <w:rPr>
          <w:szCs w:val="22"/>
        </w:rPr>
        <w:t>Vokietija</w:t>
      </w:r>
    </w:p>
    <w:p w14:paraId="30B666C7" w14:textId="77777777" w:rsidR="00912BDF" w:rsidRPr="00A913BF" w:rsidRDefault="00912BDF" w:rsidP="00912BDF">
      <w:pPr>
        <w:rPr>
          <w:szCs w:val="22"/>
        </w:rPr>
      </w:pPr>
    </w:p>
    <w:p w14:paraId="788732EC" w14:textId="77777777" w:rsidR="00912BDF" w:rsidRPr="00A913BF" w:rsidRDefault="00912BDF" w:rsidP="00912BDF">
      <w:pPr>
        <w:rPr>
          <w:szCs w:val="22"/>
        </w:rPr>
      </w:pPr>
      <w:r w:rsidRPr="00B34FA1">
        <w:rPr>
          <w:b/>
        </w:rPr>
        <w:t>Ši</w:t>
      </w:r>
      <w:r>
        <w:rPr>
          <w:b/>
        </w:rPr>
        <w:t>s</w:t>
      </w:r>
      <w:r w:rsidRPr="00B34FA1">
        <w:rPr>
          <w:b/>
        </w:rPr>
        <w:t xml:space="preserve"> </w:t>
      </w:r>
      <w:r>
        <w:rPr>
          <w:b/>
        </w:rPr>
        <w:t>vaistas</w:t>
      </w:r>
      <w:r w:rsidRPr="00B34FA1">
        <w:rPr>
          <w:b/>
        </w:rPr>
        <w:t xml:space="preserve"> EEE valstybėse narėse </w:t>
      </w:r>
      <w:r>
        <w:rPr>
          <w:b/>
        </w:rPr>
        <w:t xml:space="preserve">registruotas </w:t>
      </w:r>
      <w:r w:rsidRPr="00B34FA1">
        <w:rPr>
          <w:b/>
        </w:rPr>
        <w:t>tokiais pavadinimai</w:t>
      </w:r>
      <w:r w:rsidRPr="00475102">
        <w:rPr>
          <w:b/>
        </w:rPr>
        <w:t>s</w:t>
      </w:r>
      <w:r w:rsidRPr="003248F0">
        <w:rPr>
          <w:b/>
        </w:rPr>
        <w:t>:</w:t>
      </w:r>
    </w:p>
    <w:p w14:paraId="75B971E8" w14:textId="77777777" w:rsidR="00912BDF" w:rsidRPr="00A913BF" w:rsidRDefault="00912BDF" w:rsidP="00912BDF">
      <w:pPr>
        <w:rPr>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5"/>
        <w:gridCol w:w="2694"/>
      </w:tblGrid>
      <w:tr w:rsidR="00912BDF" w:rsidRPr="00A913BF" w14:paraId="04759171" w14:textId="77777777" w:rsidTr="00922A4E">
        <w:tc>
          <w:tcPr>
            <w:tcW w:w="6345" w:type="dxa"/>
            <w:tcBorders>
              <w:top w:val="single" w:sz="4" w:space="0" w:color="auto"/>
              <w:left w:val="single" w:sz="4" w:space="0" w:color="auto"/>
              <w:bottom w:val="single" w:sz="4" w:space="0" w:color="auto"/>
              <w:right w:val="single" w:sz="4" w:space="0" w:color="auto"/>
            </w:tcBorders>
          </w:tcPr>
          <w:p w14:paraId="6653B9F4" w14:textId="77777777" w:rsidR="00912BDF" w:rsidRPr="00A913BF" w:rsidRDefault="00912BDF" w:rsidP="00922A4E">
            <w:pPr>
              <w:rPr>
                <w:b/>
                <w:bCs/>
                <w:szCs w:val="22"/>
              </w:rPr>
            </w:pPr>
            <w:r w:rsidRPr="00A913BF">
              <w:rPr>
                <w:b/>
                <w:bCs/>
                <w:szCs w:val="22"/>
              </w:rPr>
              <w:lastRenderedPageBreak/>
              <w:t>Valstybė narė</w:t>
            </w:r>
          </w:p>
        </w:tc>
        <w:tc>
          <w:tcPr>
            <w:tcW w:w="2694" w:type="dxa"/>
            <w:tcBorders>
              <w:top w:val="single" w:sz="4" w:space="0" w:color="auto"/>
              <w:left w:val="single" w:sz="4" w:space="0" w:color="auto"/>
              <w:bottom w:val="single" w:sz="4" w:space="0" w:color="auto"/>
              <w:right w:val="single" w:sz="4" w:space="0" w:color="auto"/>
            </w:tcBorders>
          </w:tcPr>
          <w:p w14:paraId="3511BC67" w14:textId="77777777" w:rsidR="00912BDF" w:rsidRPr="00A913BF" w:rsidRDefault="00912BDF" w:rsidP="00922A4E">
            <w:pPr>
              <w:rPr>
                <w:b/>
                <w:bCs/>
                <w:szCs w:val="22"/>
              </w:rPr>
            </w:pPr>
            <w:r w:rsidRPr="00A913BF">
              <w:rPr>
                <w:b/>
                <w:bCs/>
                <w:szCs w:val="22"/>
              </w:rPr>
              <w:t>Pavadinimas</w:t>
            </w:r>
          </w:p>
        </w:tc>
      </w:tr>
      <w:tr w:rsidR="00912BDF" w:rsidRPr="00A913BF" w14:paraId="3E46BB8C" w14:textId="77777777" w:rsidTr="00922A4E">
        <w:tc>
          <w:tcPr>
            <w:tcW w:w="6345" w:type="dxa"/>
            <w:tcBorders>
              <w:top w:val="single" w:sz="4" w:space="0" w:color="auto"/>
              <w:left w:val="single" w:sz="4" w:space="0" w:color="auto"/>
              <w:bottom w:val="single" w:sz="4" w:space="0" w:color="auto"/>
              <w:right w:val="single" w:sz="4" w:space="0" w:color="auto"/>
            </w:tcBorders>
          </w:tcPr>
          <w:p w14:paraId="2D593D3F" w14:textId="77777777" w:rsidR="00912BDF" w:rsidRPr="00A913BF" w:rsidRDefault="00912BDF" w:rsidP="00922A4E">
            <w:pPr>
              <w:rPr>
                <w:szCs w:val="22"/>
              </w:rPr>
            </w:pPr>
            <w:r w:rsidRPr="00A913BF">
              <w:rPr>
                <w:szCs w:val="22"/>
              </w:rPr>
              <w:t>Austrija, Belgija, Bulgarija, Kipras,  Danija, Estija, Suomija, Prancūzija, Vokietija, Graikija, Islandija, Airija, Latvija, Lietuva, Liuksemburgas, Malta, Nyderlandai, Norvegija, Lenkija, Portugalija, Rumunija, Slovakija, Slovėnija, Ispanija, Švedija, Jungtinė Karalystė</w:t>
            </w:r>
          </w:p>
        </w:tc>
        <w:tc>
          <w:tcPr>
            <w:tcW w:w="2694" w:type="dxa"/>
            <w:tcBorders>
              <w:top w:val="single" w:sz="4" w:space="0" w:color="auto"/>
              <w:left w:val="single" w:sz="4" w:space="0" w:color="auto"/>
              <w:bottom w:val="single" w:sz="4" w:space="0" w:color="auto"/>
              <w:right w:val="single" w:sz="4" w:space="0" w:color="auto"/>
            </w:tcBorders>
          </w:tcPr>
          <w:p w14:paraId="538F5F45" w14:textId="77777777" w:rsidR="00912BDF" w:rsidRPr="00A913BF" w:rsidRDefault="00912BDF" w:rsidP="00922A4E">
            <w:pPr>
              <w:rPr>
                <w:szCs w:val="22"/>
              </w:rPr>
            </w:pPr>
            <w:r w:rsidRPr="00A913BF">
              <w:rPr>
                <w:szCs w:val="22"/>
              </w:rPr>
              <w:t>Atacand</w:t>
            </w:r>
          </w:p>
        </w:tc>
      </w:tr>
      <w:tr w:rsidR="00912BDF" w:rsidRPr="00A913BF" w14:paraId="42BBF3D0" w14:textId="77777777" w:rsidTr="00922A4E">
        <w:tc>
          <w:tcPr>
            <w:tcW w:w="6345" w:type="dxa"/>
            <w:tcBorders>
              <w:top w:val="single" w:sz="4" w:space="0" w:color="auto"/>
              <w:left w:val="single" w:sz="4" w:space="0" w:color="auto"/>
              <w:bottom w:val="single" w:sz="4" w:space="0" w:color="auto"/>
              <w:right w:val="single" w:sz="4" w:space="0" w:color="auto"/>
            </w:tcBorders>
          </w:tcPr>
          <w:p w14:paraId="3A95CFC3" w14:textId="77777777" w:rsidR="00912BDF" w:rsidRPr="00A913BF" w:rsidRDefault="00912BDF" w:rsidP="00922A4E">
            <w:pPr>
              <w:rPr>
                <w:szCs w:val="22"/>
              </w:rPr>
            </w:pPr>
            <w:r w:rsidRPr="00A913BF">
              <w:rPr>
                <w:szCs w:val="22"/>
              </w:rPr>
              <w:t>Italija</w:t>
            </w:r>
          </w:p>
        </w:tc>
        <w:tc>
          <w:tcPr>
            <w:tcW w:w="2694" w:type="dxa"/>
            <w:tcBorders>
              <w:top w:val="single" w:sz="4" w:space="0" w:color="auto"/>
              <w:left w:val="single" w:sz="4" w:space="0" w:color="auto"/>
              <w:bottom w:val="single" w:sz="4" w:space="0" w:color="auto"/>
              <w:right w:val="single" w:sz="4" w:space="0" w:color="auto"/>
            </w:tcBorders>
          </w:tcPr>
          <w:p w14:paraId="205046E1" w14:textId="77777777" w:rsidR="00912BDF" w:rsidRPr="00A913BF" w:rsidRDefault="00912BDF" w:rsidP="00922A4E">
            <w:pPr>
              <w:rPr>
                <w:szCs w:val="22"/>
              </w:rPr>
            </w:pPr>
            <w:r w:rsidRPr="00A913BF">
              <w:rPr>
                <w:szCs w:val="22"/>
              </w:rPr>
              <w:t>Ratacand</w:t>
            </w:r>
          </w:p>
        </w:tc>
      </w:tr>
    </w:tbl>
    <w:p w14:paraId="3F8556BE" w14:textId="77777777" w:rsidR="00912BDF" w:rsidRPr="00A913BF" w:rsidRDefault="00912BDF" w:rsidP="00912BDF">
      <w:pPr>
        <w:rPr>
          <w:szCs w:val="22"/>
        </w:rPr>
      </w:pPr>
    </w:p>
    <w:p w14:paraId="795D8B3D" w14:textId="77777777" w:rsidR="00912BDF" w:rsidRPr="00A913BF" w:rsidRDefault="00912BDF" w:rsidP="00912BDF">
      <w:pPr>
        <w:rPr>
          <w:szCs w:val="22"/>
        </w:rPr>
      </w:pPr>
    </w:p>
    <w:p w14:paraId="4B806DAB" w14:textId="4CA8FBBE" w:rsidR="00912BDF" w:rsidRDefault="00912BDF" w:rsidP="00912BDF">
      <w:pPr>
        <w:rPr>
          <w:b/>
          <w:bCs/>
          <w:szCs w:val="22"/>
        </w:rPr>
      </w:pPr>
      <w:r w:rsidRPr="00A913BF">
        <w:rPr>
          <w:b/>
          <w:bCs/>
          <w:szCs w:val="22"/>
        </w:rPr>
        <w:t>Šis pakuotės lapelis paskutinį kartą peržiūrėtas</w:t>
      </w:r>
      <w:r w:rsidR="00475102">
        <w:rPr>
          <w:b/>
          <w:bCs/>
          <w:szCs w:val="22"/>
        </w:rPr>
        <w:t xml:space="preserve"> </w:t>
      </w:r>
      <w:r w:rsidR="00A65C64">
        <w:rPr>
          <w:b/>
          <w:bCs/>
          <w:szCs w:val="22"/>
        </w:rPr>
        <w:t>2021-03-01</w:t>
      </w:r>
      <w:r w:rsidR="00EC2F53">
        <w:rPr>
          <w:b/>
          <w:bCs/>
          <w:szCs w:val="22"/>
        </w:rPr>
        <w:t>.</w:t>
      </w:r>
    </w:p>
    <w:p w14:paraId="4C3C66A9" w14:textId="77777777" w:rsidR="00C327A6" w:rsidRPr="00A913BF" w:rsidRDefault="00C327A6" w:rsidP="00912BDF">
      <w:pPr>
        <w:rPr>
          <w:szCs w:val="22"/>
        </w:rPr>
      </w:pPr>
    </w:p>
    <w:p w14:paraId="18FC1895" w14:textId="77777777" w:rsidR="00912BDF" w:rsidRPr="00A913BF" w:rsidRDefault="00912BDF" w:rsidP="00912BDF">
      <w:pPr>
        <w:rPr>
          <w:szCs w:val="22"/>
        </w:rPr>
      </w:pPr>
      <w:r w:rsidRPr="00A913BF">
        <w:rPr>
          <w:szCs w:val="22"/>
        </w:rPr>
        <w:t xml:space="preserve">Išsami informacija apie šį vaistą pateikiama Valstybinės vaistų kontrolės tarnybos prie Lietuvos Respublikos sveikatos apsaugos ministerijos tinklalapyje </w:t>
      </w:r>
      <w:r w:rsidRPr="00A913BF">
        <w:rPr>
          <w:color w:val="0000FF"/>
          <w:szCs w:val="22"/>
        </w:rPr>
        <w:t>http://www.vvkt.lt/</w:t>
      </w:r>
      <w:r w:rsidRPr="00A913BF">
        <w:rPr>
          <w:szCs w:val="22"/>
        </w:rPr>
        <w:t>.</w:t>
      </w:r>
    </w:p>
    <w:p w14:paraId="1A47CF58" w14:textId="77777777" w:rsidR="00912BDF" w:rsidRPr="00EC2F53" w:rsidRDefault="00912BDF" w:rsidP="00912BDF">
      <w:pPr>
        <w:rPr>
          <w:b/>
        </w:rPr>
      </w:pPr>
    </w:p>
    <w:sectPr w:rsidR="00912BDF" w:rsidRPr="00EC2F53" w:rsidSect="00922A4E">
      <w:headerReference w:type="default" r:id="rId11"/>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B8A27" w14:textId="77777777" w:rsidR="006D4E66" w:rsidRDefault="006D4E66">
      <w:r>
        <w:separator/>
      </w:r>
    </w:p>
  </w:endnote>
  <w:endnote w:type="continuationSeparator" w:id="0">
    <w:p w14:paraId="3D8231F9" w14:textId="77777777" w:rsidR="006D4E66" w:rsidRDefault="006D4E66">
      <w:r>
        <w:continuationSeparator/>
      </w:r>
    </w:p>
  </w:endnote>
  <w:endnote w:type="continuationNotice" w:id="1">
    <w:p w14:paraId="68EFB963" w14:textId="77777777" w:rsidR="006D4E66" w:rsidRDefault="006D4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rinda">
    <w:altName w:val="MV Boli"/>
    <w:panose1 w:val="00000400000000000000"/>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F8A74" w14:textId="77777777" w:rsidR="00922A4E" w:rsidRDefault="00922A4E">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1F8F69AC" w14:textId="77777777" w:rsidR="00922A4E" w:rsidRDefault="00922A4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52CE5" w14:textId="77777777" w:rsidR="00922A4E" w:rsidRDefault="00922A4E">
    <w:pPr>
      <w:pStyle w:val="Porat"/>
      <w:framePr w:wrap="around" w:vAnchor="text" w:hAnchor="margin" w:xAlign="right" w:y="1"/>
      <w:rPr>
        <w:rStyle w:val="Puslapionumeris"/>
        <w:lang w:val="lt-LT"/>
      </w:rPr>
    </w:pPr>
  </w:p>
  <w:p w14:paraId="31C80923" w14:textId="12EE4213" w:rsidR="00922A4E" w:rsidRPr="00CA3484" w:rsidRDefault="00922A4E">
    <w:pPr>
      <w:pStyle w:val="Porat"/>
      <w:ind w:right="360"/>
      <w:jc w:val="center"/>
      <w:rPr>
        <w:rStyle w:val="Puslapionumeris"/>
        <w:rFonts w:ascii="Times New Roman" w:hAnsi="Times New Roman"/>
        <w:sz w:val="20"/>
        <w:lang w:val="lt-LT"/>
      </w:rPr>
    </w:pPr>
    <w:r w:rsidRPr="00CA3484">
      <w:rPr>
        <w:rStyle w:val="Puslapionumeris"/>
        <w:rFonts w:ascii="Times New Roman" w:hAnsi="Times New Roman"/>
        <w:sz w:val="20"/>
        <w:lang w:val="lt-LT"/>
      </w:rPr>
      <w:fldChar w:fldCharType="begin"/>
    </w:r>
    <w:r w:rsidRPr="00CA3484">
      <w:rPr>
        <w:rStyle w:val="Puslapionumeris"/>
        <w:rFonts w:ascii="Times New Roman" w:hAnsi="Times New Roman"/>
        <w:sz w:val="20"/>
        <w:lang w:val="lt-LT"/>
      </w:rPr>
      <w:instrText xml:space="preserve"> PAGE </w:instrText>
    </w:r>
    <w:r w:rsidRPr="00CA3484">
      <w:rPr>
        <w:rStyle w:val="Puslapionumeris"/>
        <w:rFonts w:ascii="Times New Roman" w:hAnsi="Times New Roman"/>
        <w:sz w:val="20"/>
        <w:lang w:val="lt-LT"/>
      </w:rPr>
      <w:fldChar w:fldCharType="separate"/>
    </w:r>
    <w:r w:rsidR="005244C2">
      <w:rPr>
        <w:rStyle w:val="Puslapionumeris"/>
        <w:rFonts w:ascii="Times New Roman" w:hAnsi="Times New Roman"/>
        <w:noProof/>
        <w:sz w:val="20"/>
        <w:lang w:val="lt-LT"/>
      </w:rPr>
      <w:t>19</w:t>
    </w:r>
    <w:r w:rsidRPr="00CA3484">
      <w:rPr>
        <w:rStyle w:val="Puslapionumeris"/>
        <w:rFonts w:ascii="Times New Roman" w:hAnsi="Times New Roman"/>
        <w:sz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19F6C" w14:textId="77777777" w:rsidR="006D4E66" w:rsidRDefault="006D4E66">
      <w:r>
        <w:separator/>
      </w:r>
    </w:p>
  </w:footnote>
  <w:footnote w:type="continuationSeparator" w:id="0">
    <w:p w14:paraId="52BC1AAD" w14:textId="77777777" w:rsidR="006D4E66" w:rsidRDefault="006D4E66">
      <w:r>
        <w:continuationSeparator/>
      </w:r>
    </w:p>
  </w:footnote>
  <w:footnote w:type="continuationNotice" w:id="1">
    <w:p w14:paraId="783AFECD" w14:textId="77777777" w:rsidR="006D4E66" w:rsidRDefault="006D4E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49F23" w14:textId="77777777" w:rsidR="00304B41" w:rsidRDefault="00304B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CE4"/>
    <w:multiLevelType w:val="hybridMultilevel"/>
    <w:tmpl w:val="536E1FEA"/>
    <w:lvl w:ilvl="0" w:tplc="0930F706">
      <w:start w:val="1"/>
      <w:numFmt w:val="bullet"/>
      <w:lvlText w:val="-"/>
      <w:lvlJc w:val="left"/>
      <w:pPr>
        <w:ind w:left="1440" w:hanging="360"/>
      </w:pPr>
      <w:rPr>
        <w:rFonts w:ascii="Vrinda" w:hAnsi="Vrinda"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4C159E1"/>
    <w:multiLevelType w:val="hybridMultilevel"/>
    <w:tmpl w:val="88301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3E323A"/>
    <w:multiLevelType w:val="hybridMultilevel"/>
    <w:tmpl w:val="1A6856F2"/>
    <w:lvl w:ilvl="0" w:tplc="5F62B3D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447E0C"/>
    <w:multiLevelType w:val="hybridMultilevel"/>
    <w:tmpl w:val="F2FE8694"/>
    <w:lvl w:ilvl="0" w:tplc="FFFFFFFF">
      <w:start w:val="1"/>
      <w:numFmt w:val="bullet"/>
      <w:lvlText w:val="-"/>
      <w:lvlJc w:val="left"/>
      <w:pPr>
        <w:tabs>
          <w:tab w:val="num" w:pos="567"/>
        </w:tabs>
        <w:ind w:left="567" w:hanging="567"/>
      </w:pPr>
      <w:rPr>
        <w:rFonts w:hint="default"/>
      </w:rPr>
    </w:lvl>
    <w:lvl w:ilvl="1" w:tplc="FFFFFFFF">
      <w:start w:val="1"/>
      <w:numFmt w:val="decimal"/>
      <w:lvlText w:val="%2."/>
      <w:lvlJc w:val="left"/>
      <w:pPr>
        <w:tabs>
          <w:tab w:val="num" w:pos="567"/>
        </w:tabs>
        <w:ind w:left="567" w:hanging="567"/>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4329CF"/>
    <w:multiLevelType w:val="hybridMultilevel"/>
    <w:tmpl w:val="85BA90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7A535C"/>
    <w:multiLevelType w:val="hybridMultilevel"/>
    <w:tmpl w:val="675805F0"/>
    <w:lvl w:ilvl="0" w:tplc="0930F706">
      <w:start w:val="1"/>
      <w:numFmt w:val="bullet"/>
      <w:lvlText w:val="-"/>
      <w:lvlJc w:val="left"/>
      <w:pPr>
        <w:ind w:left="720" w:hanging="360"/>
      </w:pPr>
      <w:rPr>
        <w:rFonts w:ascii="Vrinda" w:hAnsi="Vrind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4026"/>
    <w:multiLevelType w:val="hybridMultilevel"/>
    <w:tmpl w:val="6D782F3C"/>
    <w:lvl w:ilvl="0" w:tplc="5E26624C">
      <w:start w:val="1"/>
      <w:numFmt w:val="bullet"/>
      <w:lvlText w:val=""/>
      <w:lvlJc w:val="left"/>
      <w:pPr>
        <w:ind w:left="780" w:hanging="360"/>
      </w:pPr>
      <w:rPr>
        <w:rFonts w:ascii="Symbol" w:hAnsi="Symbol" w:cs="Times New Roman" w:hint="default"/>
      </w:rPr>
    </w:lvl>
    <w:lvl w:ilvl="1" w:tplc="5F1E5B56"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A213992"/>
    <w:multiLevelType w:val="hybridMultilevel"/>
    <w:tmpl w:val="C6FC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B5785D"/>
    <w:multiLevelType w:val="hybridMultilevel"/>
    <w:tmpl w:val="B77A6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10110D"/>
    <w:multiLevelType w:val="hybridMultilevel"/>
    <w:tmpl w:val="E52ECCDE"/>
    <w:lvl w:ilvl="0" w:tplc="5F62B3D6">
      <w:start w:val="1"/>
      <w:numFmt w:val="bullet"/>
      <w:lvlText w:val=""/>
      <w:lvlJc w:val="left"/>
      <w:pPr>
        <w:tabs>
          <w:tab w:val="num" w:pos="567"/>
        </w:tabs>
        <w:ind w:left="567" w:hanging="567"/>
      </w:pPr>
      <w:rPr>
        <w:rFonts w:ascii="Symbol" w:hAnsi="Symbol" w:cs="Times New Roman" w:hint="default"/>
      </w:rPr>
    </w:lvl>
    <w:lvl w:ilvl="1" w:tplc="04270003">
      <w:numFmt w:val="bullet"/>
      <w:lvlText w:val="-"/>
      <w:lvlJc w:val="left"/>
      <w:pPr>
        <w:tabs>
          <w:tab w:val="num" w:pos="1800"/>
        </w:tabs>
        <w:ind w:left="1800" w:hanging="72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165C48"/>
    <w:multiLevelType w:val="hybridMultilevel"/>
    <w:tmpl w:val="19CCE606"/>
    <w:lvl w:ilvl="0" w:tplc="5F62B3D6">
      <w:start w:val="1"/>
      <w:numFmt w:val="bullet"/>
      <w:lvlText w:val=""/>
      <w:lvlJc w:val="left"/>
      <w:pPr>
        <w:tabs>
          <w:tab w:val="num" w:pos="567"/>
        </w:tabs>
        <w:ind w:left="567" w:hanging="567"/>
      </w:pPr>
      <w:rPr>
        <w:rFonts w:ascii="Symbol" w:hAnsi="Symbol" w:cs="Times New Roman" w:hint="default"/>
      </w:rPr>
    </w:lvl>
    <w:lvl w:ilvl="1" w:tplc="D53AB0F0">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1508F2"/>
    <w:multiLevelType w:val="hybridMultilevel"/>
    <w:tmpl w:val="93BAD33C"/>
    <w:lvl w:ilvl="0" w:tplc="5F62B3D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8D6070"/>
    <w:multiLevelType w:val="hybridMultilevel"/>
    <w:tmpl w:val="93BAD33C"/>
    <w:lvl w:ilvl="0" w:tplc="433A734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BE226F"/>
    <w:multiLevelType w:val="hybridMultilevel"/>
    <w:tmpl w:val="5BBE0FD8"/>
    <w:lvl w:ilvl="0" w:tplc="08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5296044A"/>
    <w:multiLevelType w:val="hybridMultilevel"/>
    <w:tmpl w:val="E14812D4"/>
    <w:lvl w:ilvl="0" w:tplc="5F62B3D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581F13"/>
    <w:multiLevelType w:val="hybridMultilevel"/>
    <w:tmpl w:val="A7D04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721B3C"/>
    <w:multiLevelType w:val="hybridMultilevel"/>
    <w:tmpl w:val="EC44A2AC"/>
    <w:lvl w:ilvl="0" w:tplc="756C3CCC">
      <w:start w:val="2"/>
      <w:numFmt w:val="bullet"/>
      <w:lvlText w:val="-"/>
      <w:lvlJc w:val="left"/>
      <w:pPr>
        <w:ind w:left="2025" w:hanging="360"/>
      </w:pPr>
      <w:rPr>
        <w:rFonts w:ascii="Times New Roman" w:eastAsia="Times New Roman" w:hAnsi="Times New Roman" w:cs="Times New Roman" w:hint="default"/>
      </w:rPr>
    </w:lvl>
    <w:lvl w:ilvl="1" w:tplc="08090003" w:tentative="1">
      <w:start w:val="1"/>
      <w:numFmt w:val="bullet"/>
      <w:lvlText w:val="o"/>
      <w:lvlJc w:val="left"/>
      <w:pPr>
        <w:ind w:left="2745" w:hanging="360"/>
      </w:pPr>
      <w:rPr>
        <w:rFonts w:ascii="Courier New" w:hAnsi="Courier New" w:cs="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cs="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cs="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17" w15:restartNumberingAfterBreak="0">
    <w:nsid w:val="6B3928FD"/>
    <w:multiLevelType w:val="hybridMultilevel"/>
    <w:tmpl w:val="4BB608D8"/>
    <w:lvl w:ilvl="0" w:tplc="385A424E">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DD3B61"/>
    <w:multiLevelType w:val="hybridMultilevel"/>
    <w:tmpl w:val="90FCADFA"/>
    <w:lvl w:ilvl="0" w:tplc="5F62B3D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BA514F"/>
    <w:multiLevelType w:val="hybridMultilevel"/>
    <w:tmpl w:val="FC026144"/>
    <w:lvl w:ilvl="0" w:tplc="5F62B3D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2A61FB"/>
    <w:multiLevelType w:val="hybridMultilevel"/>
    <w:tmpl w:val="B90A576A"/>
    <w:lvl w:ilvl="0" w:tplc="433A734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EF7EB0"/>
    <w:multiLevelType w:val="hybridMultilevel"/>
    <w:tmpl w:val="E8EC5EE2"/>
    <w:lvl w:ilvl="0" w:tplc="089CA74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867C59"/>
    <w:multiLevelType w:val="hybridMultilevel"/>
    <w:tmpl w:val="8D6AC698"/>
    <w:lvl w:ilvl="0" w:tplc="433A734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1"/>
  </w:num>
  <w:num w:numId="4">
    <w:abstractNumId w:val="12"/>
  </w:num>
  <w:num w:numId="5">
    <w:abstractNumId w:val="22"/>
  </w:num>
  <w:num w:numId="6">
    <w:abstractNumId w:val="2"/>
  </w:num>
  <w:num w:numId="7">
    <w:abstractNumId w:val="18"/>
  </w:num>
  <w:num w:numId="8">
    <w:abstractNumId w:val="17"/>
  </w:num>
  <w:num w:numId="9">
    <w:abstractNumId w:val="9"/>
  </w:num>
  <w:num w:numId="10">
    <w:abstractNumId w:val="10"/>
  </w:num>
  <w:num w:numId="11">
    <w:abstractNumId w:val="3"/>
  </w:num>
  <w:num w:numId="12">
    <w:abstractNumId w:val="20"/>
  </w:num>
  <w:num w:numId="13">
    <w:abstractNumId w:val="14"/>
  </w:num>
  <w:num w:numId="14">
    <w:abstractNumId w:val="6"/>
  </w:num>
  <w:num w:numId="15">
    <w:abstractNumId w:val="0"/>
  </w:num>
  <w:num w:numId="16">
    <w:abstractNumId w:val="4"/>
  </w:num>
  <w:num w:numId="17">
    <w:abstractNumId w:val="13"/>
  </w:num>
  <w:num w:numId="18">
    <w:abstractNumId w:val="5"/>
  </w:num>
  <w:num w:numId="19">
    <w:abstractNumId w:val="7"/>
  </w:num>
  <w:num w:numId="20">
    <w:abstractNumId w:val="15"/>
  </w:num>
  <w:num w:numId="21">
    <w:abstractNumId w:val="16"/>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DF"/>
    <w:rsid w:val="0000468E"/>
    <w:rsid w:val="000C579E"/>
    <w:rsid w:val="00150E2A"/>
    <w:rsid w:val="00172867"/>
    <w:rsid w:val="00190A1C"/>
    <w:rsid w:val="001D22F0"/>
    <w:rsid w:val="001E63D4"/>
    <w:rsid w:val="002468B4"/>
    <w:rsid w:val="00287B2C"/>
    <w:rsid w:val="002C1234"/>
    <w:rsid w:val="00304B41"/>
    <w:rsid w:val="00317C7C"/>
    <w:rsid w:val="003248F0"/>
    <w:rsid w:val="003676E6"/>
    <w:rsid w:val="003A7E99"/>
    <w:rsid w:val="003D6F3D"/>
    <w:rsid w:val="004055FA"/>
    <w:rsid w:val="00475102"/>
    <w:rsid w:val="004B6071"/>
    <w:rsid w:val="00504F0F"/>
    <w:rsid w:val="005244C2"/>
    <w:rsid w:val="00562B31"/>
    <w:rsid w:val="005B765C"/>
    <w:rsid w:val="00614ACB"/>
    <w:rsid w:val="006D256E"/>
    <w:rsid w:val="006D4E66"/>
    <w:rsid w:val="00781527"/>
    <w:rsid w:val="007D2698"/>
    <w:rsid w:val="008417BC"/>
    <w:rsid w:val="00912BDF"/>
    <w:rsid w:val="00922A4E"/>
    <w:rsid w:val="00935A38"/>
    <w:rsid w:val="009F4D9B"/>
    <w:rsid w:val="00A65C64"/>
    <w:rsid w:val="00A96497"/>
    <w:rsid w:val="00B1113D"/>
    <w:rsid w:val="00B26DC1"/>
    <w:rsid w:val="00B75929"/>
    <w:rsid w:val="00C17CD6"/>
    <w:rsid w:val="00C327A6"/>
    <w:rsid w:val="00CB43BE"/>
    <w:rsid w:val="00CF4E51"/>
    <w:rsid w:val="00DB79A0"/>
    <w:rsid w:val="00E379D1"/>
    <w:rsid w:val="00EC2F53"/>
    <w:rsid w:val="00FC4C5F"/>
    <w:rsid w:val="00FF0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40AC"/>
  <w15:chartTrackingRefBased/>
  <w15:docId w15:val="{C4AF0493-253D-488D-B710-75D33441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4B41"/>
    <w:rPr>
      <w:rFonts w:ascii="Times New Roman" w:eastAsia="Times New Roman" w:hAnsi="Times New Roman"/>
      <w:sz w:val="22"/>
      <w:szCs w:val="24"/>
      <w:lang w:eastAsia="en-US"/>
    </w:rPr>
  </w:style>
  <w:style w:type="paragraph" w:styleId="Antrat1">
    <w:name w:val="heading 1"/>
    <w:basedOn w:val="prastasis"/>
    <w:next w:val="prastasis"/>
    <w:link w:val="Antrat1Diagrama"/>
    <w:uiPriority w:val="1"/>
    <w:qFormat/>
    <w:rsid w:val="00912BDF"/>
    <w:pPr>
      <w:spacing w:after="240"/>
      <w:outlineLvl w:val="0"/>
    </w:pPr>
    <w:rPr>
      <w:rFonts w:eastAsia="Calibri" w:cs="Arial Unicode MS"/>
      <w:b/>
      <w:sz w:val="32"/>
      <w:szCs w:val="20"/>
      <w:lang w:bidi="lo-LA"/>
    </w:rPr>
  </w:style>
  <w:style w:type="paragraph" w:styleId="Antrat2">
    <w:name w:val="heading 2"/>
    <w:basedOn w:val="prastasis"/>
    <w:next w:val="prastasis"/>
    <w:link w:val="Antrat2Diagrama"/>
    <w:uiPriority w:val="1"/>
    <w:qFormat/>
    <w:rsid w:val="00912BDF"/>
    <w:pPr>
      <w:spacing w:after="120"/>
      <w:outlineLvl w:val="1"/>
    </w:pPr>
    <w:rPr>
      <w:rFonts w:cs="Arial Unicode MS"/>
      <w:b/>
      <w:bCs/>
      <w:sz w:val="28"/>
      <w:szCs w:val="26"/>
      <w:lang w:bidi="lo-LA"/>
    </w:rPr>
  </w:style>
  <w:style w:type="paragraph" w:styleId="Antrat3">
    <w:name w:val="heading 3"/>
    <w:basedOn w:val="prastasis"/>
    <w:next w:val="prastasis"/>
    <w:link w:val="Antrat3Diagrama"/>
    <w:uiPriority w:val="1"/>
    <w:qFormat/>
    <w:rsid w:val="00912BDF"/>
    <w:pPr>
      <w:spacing w:after="120"/>
      <w:outlineLvl w:val="2"/>
    </w:pPr>
    <w:rPr>
      <w:rFonts w:cs="Arial Unicode MS"/>
      <w:b/>
      <w:bCs/>
      <w:sz w:val="20"/>
      <w:szCs w:val="20"/>
      <w:lang w:bidi="lo-LA"/>
    </w:rPr>
  </w:style>
  <w:style w:type="paragraph" w:styleId="Antrat4">
    <w:name w:val="heading 4"/>
    <w:basedOn w:val="prastasis"/>
    <w:next w:val="prastasis"/>
    <w:link w:val="Antrat4Diagrama"/>
    <w:uiPriority w:val="1"/>
    <w:qFormat/>
    <w:rsid w:val="00912BDF"/>
    <w:pPr>
      <w:outlineLvl w:val="3"/>
    </w:pPr>
    <w:rPr>
      <w:rFonts w:cs="Arial Unicode MS"/>
      <w:b/>
      <w:bCs/>
      <w:iCs/>
      <w:sz w:val="20"/>
      <w:szCs w:val="20"/>
      <w:lang w:bidi="lo-LA"/>
    </w:rPr>
  </w:style>
  <w:style w:type="paragraph" w:styleId="Antrat5">
    <w:name w:val="heading 5"/>
    <w:basedOn w:val="prastasis"/>
    <w:next w:val="prastasis"/>
    <w:link w:val="Antrat5Diagrama"/>
    <w:uiPriority w:val="1"/>
    <w:qFormat/>
    <w:rsid w:val="00912BDF"/>
    <w:pPr>
      <w:outlineLvl w:val="4"/>
    </w:pPr>
    <w:rPr>
      <w:rFonts w:cs="Arial Unicode MS"/>
      <w:b/>
      <w:i/>
      <w:sz w:val="20"/>
      <w:szCs w:val="20"/>
      <w:lang w:bidi="lo-LA"/>
    </w:rPr>
  </w:style>
  <w:style w:type="paragraph" w:styleId="Antrat6">
    <w:name w:val="heading 6"/>
    <w:basedOn w:val="prastasis"/>
    <w:next w:val="prastasis"/>
    <w:link w:val="Antrat6Diagrama"/>
    <w:uiPriority w:val="1"/>
    <w:qFormat/>
    <w:rsid w:val="00912BDF"/>
    <w:pPr>
      <w:outlineLvl w:val="5"/>
    </w:pPr>
    <w:rPr>
      <w:rFonts w:cs="Arial Unicode MS"/>
      <w:i/>
      <w:iCs/>
      <w:sz w:val="20"/>
      <w:szCs w:val="20"/>
      <w:lang w:bidi="lo-LA"/>
    </w:rPr>
  </w:style>
  <w:style w:type="paragraph" w:styleId="Antrat8">
    <w:name w:val="heading 8"/>
    <w:basedOn w:val="prastasis"/>
    <w:next w:val="prastasis"/>
    <w:link w:val="Antrat8Diagrama"/>
    <w:uiPriority w:val="9"/>
    <w:qFormat/>
    <w:rsid w:val="00912BDF"/>
    <w:pPr>
      <w:keepNext/>
      <w:keepLines/>
      <w:spacing w:before="200"/>
      <w:outlineLvl w:val="7"/>
    </w:pPr>
    <w:rPr>
      <w:rFonts w:ascii="Cambria" w:hAnsi="Cambria" w:cs="Arial Unicode MS"/>
      <w:color w:val="404040"/>
      <w:sz w:val="20"/>
      <w:szCs w:val="20"/>
      <w:lang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Heading1">
    <w:name w:val="A-Heading 1"/>
    <w:basedOn w:val="prastasis"/>
    <w:link w:val="A-Heading1Char"/>
    <w:qFormat/>
    <w:rsid w:val="00287B2C"/>
    <w:pPr>
      <w:tabs>
        <w:tab w:val="left" w:pos="567"/>
      </w:tabs>
      <w:spacing w:line="260" w:lineRule="exact"/>
      <w:jc w:val="center"/>
    </w:pPr>
    <w:rPr>
      <w:b/>
    </w:rPr>
  </w:style>
  <w:style w:type="character" w:customStyle="1" w:styleId="A-Heading1Char">
    <w:name w:val="A-Heading 1 Char"/>
    <w:link w:val="A-Heading1"/>
    <w:rsid w:val="00287B2C"/>
    <w:rPr>
      <w:b/>
    </w:rPr>
  </w:style>
  <w:style w:type="character" w:customStyle="1" w:styleId="Antrat1Diagrama">
    <w:name w:val="Antraštė 1 Diagrama"/>
    <w:link w:val="Antrat1"/>
    <w:uiPriority w:val="1"/>
    <w:rsid w:val="00912BDF"/>
    <w:rPr>
      <w:rFonts w:ascii="Times New Roman" w:eastAsia="Calibri" w:hAnsi="Times New Roman" w:cs="Arial Unicode MS"/>
      <w:b/>
      <w:sz w:val="32"/>
      <w:szCs w:val="20"/>
      <w:lang w:bidi="lo-LA"/>
    </w:rPr>
  </w:style>
  <w:style w:type="character" w:customStyle="1" w:styleId="Antrat2Diagrama">
    <w:name w:val="Antraštė 2 Diagrama"/>
    <w:link w:val="Antrat2"/>
    <w:uiPriority w:val="1"/>
    <w:rsid w:val="00912BDF"/>
    <w:rPr>
      <w:rFonts w:ascii="Times New Roman" w:eastAsia="Times New Roman" w:hAnsi="Times New Roman" w:cs="Arial Unicode MS"/>
      <w:b/>
      <w:bCs/>
      <w:sz w:val="28"/>
      <w:szCs w:val="26"/>
      <w:lang w:bidi="lo-LA"/>
    </w:rPr>
  </w:style>
  <w:style w:type="character" w:customStyle="1" w:styleId="Antrat3Diagrama">
    <w:name w:val="Antraštė 3 Diagrama"/>
    <w:link w:val="Antrat3"/>
    <w:uiPriority w:val="1"/>
    <w:rsid w:val="00912BDF"/>
    <w:rPr>
      <w:rFonts w:ascii="Times New Roman" w:eastAsia="Times New Roman" w:hAnsi="Times New Roman" w:cs="Arial Unicode MS"/>
      <w:b/>
      <w:bCs/>
      <w:sz w:val="20"/>
      <w:szCs w:val="20"/>
      <w:lang w:bidi="lo-LA"/>
    </w:rPr>
  </w:style>
  <w:style w:type="character" w:customStyle="1" w:styleId="Antrat4Diagrama">
    <w:name w:val="Antraštė 4 Diagrama"/>
    <w:link w:val="Antrat4"/>
    <w:uiPriority w:val="1"/>
    <w:rsid w:val="00912BDF"/>
    <w:rPr>
      <w:rFonts w:ascii="Times New Roman" w:eastAsia="Times New Roman" w:hAnsi="Times New Roman" w:cs="Arial Unicode MS"/>
      <w:b/>
      <w:bCs/>
      <w:iCs/>
      <w:sz w:val="20"/>
      <w:szCs w:val="20"/>
      <w:lang w:bidi="lo-LA"/>
    </w:rPr>
  </w:style>
  <w:style w:type="character" w:customStyle="1" w:styleId="Antrat5Diagrama">
    <w:name w:val="Antraštė 5 Diagrama"/>
    <w:link w:val="Antrat5"/>
    <w:uiPriority w:val="1"/>
    <w:rsid w:val="00912BDF"/>
    <w:rPr>
      <w:rFonts w:ascii="Times New Roman" w:eastAsia="Times New Roman" w:hAnsi="Times New Roman" w:cs="Arial Unicode MS"/>
      <w:b/>
      <w:i/>
      <w:sz w:val="20"/>
      <w:szCs w:val="20"/>
      <w:lang w:bidi="lo-LA"/>
    </w:rPr>
  </w:style>
  <w:style w:type="character" w:customStyle="1" w:styleId="Antrat6Diagrama">
    <w:name w:val="Antraštė 6 Diagrama"/>
    <w:link w:val="Antrat6"/>
    <w:uiPriority w:val="1"/>
    <w:rsid w:val="00912BDF"/>
    <w:rPr>
      <w:rFonts w:ascii="Times New Roman" w:eastAsia="Times New Roman" w:hAnsi="Times New Roman" w:cs="Arial Unicode MS"/>
      <w:i/>
      <w:iCs/>
      <w:sz w:val="20"/>
      <w:szCs w:val="20"/>
      <w:lang w:bidi="lo-LA"/>
    </w:rPr>
  </w:style>
  <w:style w:type="character" w:customStyle="1" w:styleId="Antrat8Diagrama">
    <w:name w:val="Antraštė 8 Diagrama"/>
    <w:link w:val="Antrat8"/>
    <w:uiPriority w:val="9"/>
    <w:rsid w:val="00912BDF"/>
    <w:rPr>
      <w:rFonts w:ascii="Cambria" w:eastAsia="Times New Roman" w:hAnsi="Cambria" w:cs="Arial Unicode MS"/>
      <w:color w:val="404040"/>
      <w:sz w:val="20"/>
      <w:szCs w:val="20"/>
      <w:lang w:bidi="lo-LA"/>
    </w:rPr>
  </w:style>
  <w:style w:type="paragraph" w:styleId="Porat">
    <w:name w:val="footer"/>
    <w:basedOn w:val="prastasis"/>
    <w:link w:val="PoratDiagrama"/>
    <w:semiHidden/>
    <w:rsid w:val="00912BDF"/>
    <w:pPr>
      <w:tabs>
        <w:tab w:val="left" w:pos="567"/>
        <w:tab w:val="center" w:pos="4536"/>
        <w:tab w:val="center" w:pos="8930"/>
      </w:tabs>
    </w:pPr>
    <w:rPr>
      <w:rFonts w:ascii="Helvetica" w:hAnsi="Helvetica" w:cs="Arial Unicode MS"/>
      <w:sz w:val="16"/>
      <w:szCs w:val="20"/>
      <w:lang w:val="cs-CZ" w:bidi="lo-LA"/>
    </w:rPr>
  </w:style>
  <w:style w:type="character" w:customStyle="1" w:styleId="PoratDiagrama">
    <w:name w:val="Poraštė Diagrama"/>
    <w:link w:val="Porat"/>
    <w:semiHidden/>
    <w:rsid w:val="00912BDF"/>
    <w:rPr>
      <w:rFonts w:ascii="Helvetica" w:eastAsia="Times New Roman" w:hAnsi="Helvetica" w:cs="Arial Unicode MS"/>
      <w:sz w:val="16"/>
      <w:szCs w:val="20"/>
      <w:lang w:val="cs-CZ" w:bidi="lo-LA"/>
    </w:rPr>
  </w:style>
  <w:style w:type="character" w:styleId="Puslapionumeris">
    <w:name w:val="page number"/>
    <w:semiHidden/>
    <w:rsid w:val="00912BDF"/>
  </w:style>
  <w:style w:type="paragraph" w:styleId="Pagrindinistekstas">
    <w:name w:val="Body Text"/>
    <w:basedOn w:val="prastasis"/>
    <w:link w:val="PagrindinistekstasDiagrama"/>
    <w:semiHidden/>
    <w:rsid w:val="00912BDF"/>
    <w:rPr>
      <w:rFonts w:cs="Arial Unicode MS"/>
      <w:i/>
      <w:color w:val="008000"/>
      <w:sz w:val="20"/>
      <w:szCs w:val="20"/>
      <w:lang w:bidi="lo-LA"/>
    </w:rPr>
  </w:style>
  <w:style w:type="character" w:customStyle="1" w:styleId="PagrindinistekstasDiagrama">
    <w:name w:val="Pagrindinis tekstas Diagrama"/>
    <w:link w:val="Pagrindinistekstas"/>
    <w:semiHidden/>
    <w:rsid w:val="00912BDF"/>
    <w:rPr>
      <w:rFonts w:ascii="Times New Roman" w:eastAsia="Times New Roman" w:hAnsi="Times New Roman" w:cs="Arial Unicode MS"/>
      <w:i/>
      <w:color w:val="008000"/>
      <w:sz w:val="20"/>
      <w:szCs w:val="20"/>
      <w:lang w:bidi="lo-LA"/>
    </w:rPr>
  </w:style>
  <w:style w:type="character" w:styleId="Hipersaitas">
    <w:name w:val="Hyperlink"/>
    <w:uiPriority w:val="99"/>
    <w:rsid w:val="00912BDF"/>
    <w:rPr>
      <w:color w:val="0000FF"/>
      <w:u w:val="single"/>
    </w:rPr>
  </w:style>
  <w:style w:type="character" w:styleId="Grietas">
    <w:name w:val="Strong"/>
    <w:qFormat/>
    <w:rsid w:val="00912BDF"/>
    <w:rPr>
      <w:b/>
      <w:bCs/>
    </w:rPr>
  </w:style>
  <w:style w:type="paragraph" w:customStyle="1" w:styleId="BTEMEASMCA">
    <w:name w:val="BT EMEA_SMCA"/>
    <w:basedOn w:val="prastasis"/>
    <w:next w:val="Antrat8"/>
    <w:rsid w:val="00912BDF"/>
    <w:rPr>
      <w:b/>
      <w:i/>
      <w:u w:val="single"/>
    </w:rPr>
  </w:style>
  <w:style w:type="paragraph" w:styleId="Pavadinimas">
    <w:name w:val="Title"/>
    <w:basedOn w:val="prastasis"/>
    <w:link w:val="PavadinimasDiagrama"/>
    <w:autoRedefine/>
    <w:qFormat/>
    <w:rsid w:val="00912BDF"/>
    <w:pPr>
      <w:jc w:val="center"/>
      <w:outlineLvl w:val="0"/>
    </w:pPr>
    <w:rPr>
      <w:rFonts w:cs="Arial Unicode MS"/>
      <w:b/>
      <w:kern w:val="28"/>
      <w:sz w:val="20"/>
      <w:szCs w:val="20"/>
      <w:lang w:bidi="lo-LA"/>
    </w:rPr>
  </w:style>
  <w:style w:type="character" w:customStyle="1" w:styleId="PavadinimasDiagrama">
    <w:name w:val="Pavadinimas Diagrama"/>
    <w:link w:val="Pavadinimas"/>
    <w:rsid w:val="00912BDF"/>
    <w:rPr>
      <w:rFonts w:ascii="Times New Roman" w:eastAsia="Times New Roman" w:hAnsi="Times New Roman" w:cs="Arial Unicode MS"/>
      <w:b/>
      <w:kern w:val="28"/>
      <w:sz w:val="20"/>
      <w:szCs w:val="20"/>
      <w:lang w:bidi="lo-LA"/>
    </w:rPr>
  </w:style>
  <w:style w:type="paragraph" w:customStyle="1" w:styleId="BodyTextAfter0">
    <w:name w:val="Body Text + After 0"/>
    <w:basedOn w:val="Pagrindinistekstas"/>
    <w:link w:val="BodyTextAfter0Char"/>
    <w:rsid w:val="00912BDF"/>
    <w:rPr>
      <w:i w:val="0"/>
      <w:color w:val="auto"/>
    </w:rPr>
  </w:style>
  <w:style w:type="character" w:customStyle="1" w:styleId="BodyTextAfter0Char">
    <w:name w:val="Body Text + After 0 Char"/>
    <w:link w:val="BodyTextAfter0"/>
    <w:rsid w:val="00912BDF"/>
    <w:rPr>
      <w:rFonts w:ascii="Times New Roman" w:eastAsia="Times New Roman" w:hAnsi="Times New Roman" w:cs="Arial Unicode MS"/>
      <w:sz w:val="20"/>
      <w:szCs w:val="20"/>
      <w:lang w:bidi="lo-LA"/>
    </w:rPr>
  </w:style>
  <w:style w:type="paragraph" w:styleId="Debesliotekstas">
    <w:name w:val="Balloon Text"/>
    <w:basedOn w:val="prastasis"/>
    <w:link w:val="DebesliotekstasDiagrama"/>
    <w:uiPriority w:val="99"/>
    <w:semiHidden/>
    <w:unhideWhenUsed/>
    <w:rsid w:val="00912BDF"/>
    <w:rPr>
      <w:rFonts w:ascii="Tahoma" w:hAnsi="Tahoma" w:cs="Arial Unicode MS"/>
      <w:sz w:val="16"/>
      <w:szCs w:val="16"/>
      <w:lang w:bidi="lo-LA"/>
    </w:rPr>
  </w:style>
  <w:style w:type="character" w:customStyle="1" w:styleId="DebesliotekstasDiagrama">
    <w:name w:val="Debesėlio tekstas Diagrama"/>
    <w:link w:val="Debesliotekstas"/>
    <w:uiPriority w:val="99"/>
    <w:semiHidden/>
    <w:rsid w:val="00912BDF"/>
    <w:rPr>
      <w:rFonts w:ascii="Tahoma" w:eastAsia="Times New Roman" w:hAnsi="Tahoma" w:cs="Arial Unicode MS"/>
      <w:sz w:val="16"/>
      <w:szCs w:val="16"/>
      <w:lang w:bidi="lo-LA"/>
    </w:rPr>
  </w:style>
  <w:style w:type="paragraph" w:styleId="Sraopastraipa">
    <w:name w:val="List Paragraph"/>
    <w:basedOn w:val="prastasis"/>
    <w:uiPriority w:val="34"/>
    <w:qFormat/>
    <w:rsid w:val="00912BDF"/>
    <w:pPr>
      <w:ind w:left="720"/>
      <w:contextualSpacing/>
    </w:pPr>
  </w:style>
  <w:style w:type="character" w:styleId="Komentaronuoroda">
    <w:name w:val="annotation reference"/>
    <w:uiPriority w:val="99"/>
    <w:semiHidden/>
    <w:unhideWhenUsed/>
    <w:rsid w:val="00912BDF"/>
    <w:rPr>
      <w:sz w:val="16"/>
      <w:szCs w:val="16"/>
    </w:rPr>
  </w:style>
  <w:style w:type="paragraph" w:styleId="Komentarotekstas">
    <w:name w:val="annotation text"/>
    <w:basedOn w:val="prastasis"/>
    <w:link w:val="KomentarotekstasDiagrama"/>
    <w:uiPriority w:val="99"/>
    <w:semiHidden/>
    <w:unhideWhenUsed/>
    <w:rsid w:val="00912BDF"/>
    <w:rPr>
      <w:rFonts w:cs="Arial Unicode MS"/>
      <w:sz w:val="20"/>
      <w:szCs w:val="20"/>
      <w:lang w:bidi="lo-LA"/>
    </w:rPr>
  </w:style>
  <w:style w:type="character" w:customStyle="1" w:styleId="KomentarotekstasDiagrama">
    <w:name w:val="Komentaro tekstas Diagrama"/>
    <w:link w:val="Komentarotekstas"/>
    <w:uiPriority w:val="99"/>
    <w:semiHidden/>
    <w:rsid w:val="00912BDF"/>
    <w:rPr>
      <w:rFonts w:ascii="Times New Roman" w:eastAsia="Times New Roman" w:hAnsi="Times New Roman" w:cs="Arial Unicode MS"/>
      <w:sz w:val="20"/>
      <w:szCs w:val="20"/>
      <w:lang w:bidi="lo-LA"/>
    </w:rPr>
  </w:style>
  <w:style w:type="paragraph" w:styleId="Komentarotema">
    <w:name w:val="annotation subject"/>
    <w:basedOn w:val="Komentarotekstas"/>
    <w:next w:val="Komentarotekstas"/>
    <w:link w:val="KomentarotemaDiagrama"/>
    <w:uiPriority w:val="99"/>
    <w:semiHidden/>
    <w:unhideWhenUsed/>
    <w:rsid w:val="00912BDF"/>
    <w:rPr>
      <w:b/>
      <w:bCs/>
    </w:rPr>
  </w:style>
  <w:style w:type="character" w:customStyle="1" w:styleId="KomentarotemaDiagrama">
    <w:name w:val="Komentaro tema Diagrama"/>
    <w:link w:val="Komentarotema"/>
    <w:uiPriority w:val="99"/>
    <w:semiHidden/>
    <w:rsid w:val="00912BDF"/>
    <w:rPr>
      <w:rFonts w:ascii="Times New Roman" w:eastAsia="Times New Roman" w:hAnsi="Times New Roman" w:cs="Arial Unicode MS"/>
      <w:b/>
      <w:bCs/>
      <w:sz w:val="20"/>
      <w:szCs w:val="20"/>
      <w:lang w:bidi="lo-LA"/>
    </w:rPr>
  </w:style>
  <w:style w:type="paragraph" w:styleId="Antrats">
    <w:name w:val="header"/>
    <w:basedOn w:val="prastasis"/>
    <w:link w:val="AntratsDiagrama"/>
    <w:uiPriority w:val="99"/>
    <w:unhideWhenUsed/>
    <w:rsid w:val="00912BDF"/>
    <w:pPr>
      <w:tabs>
        <w:tab w:val="center" w:pos="4819"/>
        <w:tab w:val="right" w:pos="9638"/>
      </w:tabs>
    </w:pPr>
    <w:rPr>
      <w:rFonts w:cs="Arial Unicode MS"/>
      <w:sz w:val="20"/>
      <w:lang w:bidi="lo-LA"/>
    </w:rPr>
  </w:style>
  <w:style w:type="character" w:customStyle="1" w:styleId="AntratsDiagrama">
    <w:name w:val="Antraštės Diagrama"/>
    <w:link w:val="Antrats"/>
    <w:uiPriority w:val="99"/>
    <w:rsid w:val="00912BDF"/>
    <w:rPr>
      <w:rFonts w:ascii="Times New Roman" w:eastAsia="Times New Roman" w:hAnsi="Times New Roman" w:cs="Arial Unicode MS"/>
      <w:sz w:val="20"/>
      <w:szCs w:val="24"/>
      <w:lang w:bidi="lo-LA"/>
    </w:rPr>
  </w:style>
  <w:style w:type="paragraph" w:styleId="Pataisymai">
    <w:name w:val="Revision"/>
    <w:hidden/>
    <w:uiPriority w:val="99"/>
    <w:semiHidden/>
    <w:rsid w:val="00304B41"/>
    <w:rPr>
      <w:rFonts w:ascii="Times New Roman" w:eastAsia="Times New Roman" w:hAnsi="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51411</Words>
  <Characters>29305</Characters>
  <Application>Microsoft Office Word</Application>
  <DocSecurity>4</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80555</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Grybauskaite, Jurgita</dc:creator>
  <cp:keywords/>
  <dc:description/>
  <cp:lastModifiedBy>Albina Burkauskaitė</cp:lastModifiedBy>
  <cp:revision>2</cp:revision>
  <dcterms:created xsi:type="dcterms:W3CDTF">2021-04-26T13:47:00Z</dcterms:created>
  <dcterms:modified xsi:type="dcterms:W3CDTF">2021-04-26T13:47:00Z</dcterms:modified>
</cp:coreProperties>
</file>