
<file path=[Content_Types].xml><?xml version="1.0" encoding="utf-8"?>
<Types xmlns="http://schemas.openxmlformats.org/package/2006/content-types">
  <Default Extension="png" ContentType="image/png"/>
  <Default Extension="bin" ContentType="application/vnd.openxmlformats-officedocument.oleObject"/>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085B4A" w:rsidRPr="009C0798" w:rsidRDefault="00085B4A" w:rsidP="00085B4A">
      <w:pPr>
        <w:widowControl w:val="0"/>
        <w:tabs>
          <w:tab w:val="left" w:pos="567"/>
        </w:tabs>
        <w:spacing w:after="0" w:line="240" w:lineRule="auto"/>
        <w:ind w:firstLine="284"/>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Pakuotės lapelis: informacija </w:t>
      </w:r>
      <w:r>
        <w:rPr>
          <w:rFonts w:ascii="Times New Roman" w:eastAsia="MS Mincho" w:hAnsi="Times New Roman" w:cs="Times New Roman"/>
          <w:b/>
          <w:sz w:val="22"/>
          <w:szCs w:val="22"/>
          <w:lang w:val="lt-LT"/>
        </w:rPr>
        <w:t>pacientui</w:t>
      </w:r>
    </w:p>
    <w:p w:rsidR="00085B4A" w:rsidRPr="009C0798" w:rsidRDefault="00085B4A" w:rsidP="00085B4A">
      <w:pPr>
        <w:widowControl w:val="0"/>
        <w:tabs>
          <w:tab w:val="left" w:pos="567"/>
        </w:tabs>
        <w:spacing w:after="0" w:line="240" w:lineRule="auto"/>
        <w:jc w:val="center"/>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jc w:val="center"/>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3 mg/1 mg/ml akių lašai (suspensija)</w:t>
      </w:r>
    </w:p>
    <w:p w:rsidR="00085B4A" w:rsidRPr="009C0798" w:rsidRDefault="00085B4A" w:rsidP="00085B4A">
      <w:pPr>
        <w:widowControl w:val="0"/>
        <w:tabs>
          <w:tab w:val="left" w:pos="567"/>
        </w:tabs>
        <w:spacing w:after="0" w:line="240" w:lineRule="auto"/>
        <w:jc w:val="center"/>
        <w:rPr>
          <w:rFonts w:ascii="Times New Roman" w:eastAsia="MS Mincho" w:hAnsi="Times New Roman" w:cs="Times New Roman"/>
          <w:b/>
          <w:sz w:val="22"/>
          <w:szCs w:val="22"/>
          <w:lang w:val="lt-LT"/>
        </w:rPr>
      </w:pPr>
      <w:r>
        <w:rPr>
          <w:rFonts w:ascii="Times New Roman" w:eastAsia="MS Mincho" w:hAnsi="Times New Roman" w:cs="Times New Roman"/>
          <w:sz w:val="22"/>
          <w:szCs w:val="22"/>
          <w:lang w:val="lt-LT"/>
        </w:rPr>
        <w:t>t</w:t>
      </w:r>
      <w:r w:rsidRPr="009C0798">
        <w:rPr>
          <w:rFonts w:ascii="Times New Roman" w:eastAsia="MS Mincho" w:hAnsi="Times New Roman" w:cs="Times New Roman"/>
          <w:sz w:val="22"/>
          <w:szCs w:val="22"/>
          <w:lang w:val="lt-LT"/>
        </w:rPr>
        <w:t>obramicinas ir deksametazonas</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Atidžiai perskaitykite visą šį lapelį prieš pradėdami vartoti vaistą, nes jame pateikiama Jums svarbi informacija.</w:t>
      </w:r>
    </w:p>
    <w:p w:rsidR="00085B4A" w:rsidRPr="009C0798" w:rsidRDefault="00085B4A" w:rsidP="00085B4A">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Neišmeskite šio lapelio, nes vėl gali prireikti jį perskaityti.</w:t>
      </w:r>
    </w:p>
    <w:p w:rsidR="00085B4A" w:rsidRPr="009C0798" w:rsidRDefault="00085B4A" w:rsidP="00085B4A">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kiltų daugiau klausimų, kreipkitės į gydytoją arba vaistininką.</w:t>
      </w:r>
    </w:p>
    <w:p w:rsidR="00085B4A" w:rsidRPr="009C0798" w:rsidRDefault="00085B4A" w:rsidP="00085B4A">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Šis vaistas skirtas tik Jums, todėl kitiems žmonėms jo duoti negalima. Vaistas gali jiems pakenkti (net tiems, kurių ligos požymiai yra tokie patys kaip Jūsų.</w:t>
      </w:r>
    </w:p>
    <w:p w:rsidR="00085B4A" w:rsidRPr="009C0798" w:rsidRDefault="00085B4A" w:rsidP="00085B4A">
      <w:pPr>
        <w:widowControl w:val="0"/>
        <w:numPr>
          <w:ilvl w:val="0"/>
          <w:numId w:val="2"/>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pasireiškė šalutinis poveikis (net jeigu jis šiame lapelyje nenurodytas), kreipkitės į gydytoją arba vaistininką. Žr. 4 skyrių.</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60" w:lineRule="exact"/>
        <w:jc w:val="both"/>
        <w:outlineLvl w:val="3"/>
        <w:rPr>
          <w:rFonts w:ascii="Times New Roman" w:eastAsia="Times New Roman" w:hAnsi="Times New Roman" w:cs="Times New Roman"/>
          <w:b/>
          <w:bCs/>
          <w:snapToGrid w:val="0"/>
          <w:sz w:val="22"/>
          <w:szCs w:val="22"/>
          <w:lang w:val="lt-LT" w:eastAsia="x-none"/>
        </w:rPr>
      </w:pPr>
      <w:r w:rsidRPr="009C0798">
        <w:rPr>
          <w:rFonts w:ascii="Times New Roman" w:eastAsia="Times New Roman" w:hAnsi="Times New Roman" w:cs="Times New Roman"/>
          <w:b/>
          <w:bCs/>
          <w:snapToGrid w:val="0"/>
          <w:sz w:val="22"/>
          <w:szCs w:val="22"/>
          <w:lang w:val="lt-LT" w:eastAsia="x-none"/>
        </w:rPr>
        <w:t>Apie ką rašoma šiame lapelyje?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Kas yra Tobradex ir kam jis vartojamas</w:t>
      </w: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Kas žinotina prieš vartojant Tobradex</w:t>
      </w: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Kaip vartoti Tobradex</w:t>
      </w: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Galimas šalutinis poveikis</w:t>
      </w: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Kaip laikyti Tobradex</w:t>
      </w:r>
    </w:p>
    <w:p w:rsidR="00085B4A" w:rsidRPr="009C0798" w:rsidRDefault="00085B4A" w:rsidP="00085B4A">
      <w:pPr>
        <w:widowControl w:val="0"/>
        <w:numPr>
          <w:ilvl w:val="0"/>
          <w:numId w:val="1"/>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Pakuotės turinys ir kita informacija</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3"/>
        </w:numPr>
        <w:tabs>
          <w:tab w:val="clear" w:pos="360"/>
          <w:tab w:val="left" w:pos="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Kas yra Tobradex ir kam jis vartojamas</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vartojamas akies u</w:t>
      </w:r>
      <w:r w:rsidRPr="009C0798">
        <w:rPr>
          <w:rFonts w:ascii="Times New Roman" w:eastAsia="MS Mincho" w:hAnsi="Times New Roman" w:cs="Times New Roman"/>
          <w:spacing w:val="-2"/>
          <w:sz w:val="22"/>
          <w:szCs w:val="22"/>
          <w:lang w:val="lt-LT"/>
        </w:rPr>
        <w:t xml:space="preserve">ždegimui malšinti ir infekcijos profilaktikai po kataraktos operacijos suaugusiesiems ir 2 metų bei vyresniems vaikams ir paaugliams. </w:t>
      </w:r>
      <w:r w:rsidRPr="009C0798">
        <w:rPr>
          <w:rFonts w:ascii="Times New Roman" w:eastAsia="MS Mincho" w:hAnsi="Times New Roman" w:cs="Times New Roman"/>
          <w:sz w:val="22"/>
          <w:szCs w:val="22"/>
          <w:lang w:val="lt-LT"/>
        </w:rPr>
        <w:t>Uždegimas gali atsirasti po akies operacijos.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kombinuoto poveikio kortikosteroido ir priešmikrobinio vaisto derinys.</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Kortikosteroidai (šiuo atveju deksametazonas) padeda slopinti akies uždegimą. Priešmikrobinis komponentas (šiuo atveju tobramicinas) veikia prieš daugybę mikroorganizmų, galinčių sukelti akies ar abiejų akių infekcinį uždegimą.</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3"/>
        </w:numPr>
        <w:tabs>
          <w:tab w:val="clear" w:pos="360"/>
          <w:tab w:val="num" w:pos="0"/>
        </w:tabs>
        <w:spacing w:after="0" w:line="240" w:lineRule="auto"/>
        <w:ind w:left="540" w:hanging="540"/>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Kas žinotina prieš vartojant Tobradex</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 xml:space="preserve">Tobradex vartoti </w:t>
      </w:r>
      <w:r>
        <w:rPr>
          <w:rFonts w:ascii="Times New Roman" w:eastAsia="MS Mincho" w:hAnsi="Times New Roman" w:cs="Times New Roman"/>
          <w:b/>
          <w:sz w:val="22"/>
          <w:szCs w:val="22"/>
          <w:lang w:val="lt-LT"/>
        </w:rPr>
        <w:t>draudžiama</w:t>
      </w:r>
      <w:r w:rsidRPr="009C0798">
        <w:rPr>
          <w:rFonts w:ascii="Times New Roman" w:eastAsia="MS Mincho" w:hAnsi="Times New Roman" w:cs="Times New Roman"/>
          <w:b/>
          <w:sz w:val="22"/>
          <w:szCs w:val="22"/>
          <w:lang w:val="lt-LT"/>
        </w:rPr>
        <w:t>:</w:t>
      </w:r>
    </w:p>
    <w:p w:rsidR="00085B4A" w:rsidRPr="009C0798" w:rsidRDefault="00085B4A" w:rsidP="00085B4A">
      <w:pPr>
        <w:widowControl w:val="0"/>
        <w:numPr>
          <w:ilvl w:val="0"/>
          <w:numId w:val="7"/>
        </w:numPr>
        <w:spacing w:after="0" w:line="240" w:lineRule="auto"/>
        <w:ind w:left="567" w:hanging="567"/>
        <w:contextualSpacing/>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yra alergija veikliosioms medžiagoms arba bet kuriai pagalbinei šio vaisto medžiagai (jos išvardytos 6 skyriuje);</w:t>
      </w:r>
    </w:p>
    <w:p w:rsidR="00085B4A" w:rsidRPr="009C0798" w:rsidRDefault="00085B4A" w:rsidP="00085B4A">
      <w:pPr>
        <w:widowControl w:val="0"/>
        <w:numPr>
          <w:ilvl w:val="0"/>
          <w:numId w:val="7"/>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 xml:space="preserve">jeigu sergate </w:t>
      </w:r>
      <w:r w:rsidRPr="009C0798">
        <w:rPr>
          <w:rFonts w:ascii="Times New Roman" w:eastAsia="MS Mincho" w:hAnsi="Times New Roman" w:cs="Times New Roman"/>
          <w:spacing w:val="-2"/>
          <w:sz w:val="22"/>
          <w:szCs w:val="22"/>
          <w:lang w:val="lt-LT"/>
        </w:rPr>
        <w:t xml:space="preserve">virusinėmis (pvz., sukeltomis paprastosios pūslelinės, raupų, vėjaraupių ar juostinės pūslelinės virusų) akių ligomis; </w:t>
      </w:r>
    </w:p>
    <w:p w:rsidR="00085B4A" w:rsidRPr="009C0798" w:rsidRDefault="00085B4A" w:rsidP="00085B4A">
      <w:pPr>
        <w:widowControl w:val="0"/>
        <w:numPr>
          <w:ilvl w:val="0"/>
          <w:numId w:val="7"/>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jeigu sergate m</w:t>
      </w:r>
      <w:r w:rsidRPr="009C0798">
        <w:rPr>
          <w:rFonts w:ascii="Times New Roman" w:eastAsia="MS Mincho" w:hAnsi="Times New Roman" w:cs="Times New Roman"/>
          <w:spacing w:val="-2"/>
          <w:sz w:val="22"/>
          <w:szCs w:val="22"/>
          <w:lang w:val="lt-LT"/>
        </w:rPr>
        <w:t>ikobakterijų sukeltomis akių infekcinėmis ligomis;</w:t>
      </w:r>
    </w:p>
    <w:p w:rsidR="00085B4A" w:rsidRPr="009C0798" w:rsidRDefault="00085B4A" w:rsidP="00085B4A">
      <w:pPr>
        <w:widowControl w:val="0"/>
        <w:numPr>
          <w:ilvl w:val="0"/>
          <w:numId w:val="7"/>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z w:val="22"/>
          <w:szCs w:val="22"/>
          <w:lang w:val="lt-LT"/>
        </w:rPr>
        <w:t>jeigu sergate g</w:t>
      </w:r>
      <w:r w:rsidRPr="009C0798">
        <w:rPr>
          <w:rFonts w:ascii="Times New Roman" w:eastAsia="MS Mincho" w:hAnsi="Times New Roman" w:cs="Times New Roman"/>
          <w:spacing w:val="-2"/>
          <w:sz w:val="22"/>
          <w:szCs w:val="22"/>
          <w:lang w:val="lt-LT"/>
        </w:rPr>
        <w:t>rybelinėmis akių ligomis arba yra negydyta parazitinė akių infekcija;</w:t>
      </w:r>
    </w:p>
    <w:p w:rsidR="00085B4A" w:rsidRPr="009C0798" w:rsidRDefault="00085B4A" w:rsidP="00085B4A">
      <w:pPr>
        <w:widowControl w:val="0"/>
        <w:numPr>
          <w:ilvl w:val="0"/>
          <w:numId w:val="7"/>
        </w:numPr>
        <w:suppressLineNumbers/>
        <w:suppressAutoHyphens/>
        <w:spacing w:after="0" w:line="240" w:lineRule="auto"/>
        <w:ind w:left="567" w:hanging="567"/>
        <w:contextualSpacing/>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jeigu sergate negydytomis pūlinėmis akių infekcinėmis ligomis.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60" w:lineRule="exact"/>
        <w:jc w:val="both"/>
        <w:outlineLvl w:val="3"/>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Įspėjimai ir atsargumo priemonės </w:t>
      </w:r>
    </w:p>
    <w:p w:rsidR="00085B4A" w:rsidRPr="009C0798" w:rsidRDefault="00085B4A" w:rsidP="00085B4A">
      <w:pPr>
        <w:widowControl w:val="0"/>
        <w:numPr>
          <w:ilvl w:val="12"/>
          <w:numId w:val="0"/>
        </w:numPr>
        <w:tabs>
          <w:tab w:val="left" w:pos="567"/>
        </w:tabs>
        <w:spacing w:after="0" w:line="240" w:lineRule="auto"/>
        <w:ind w:right="-2"/>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Pasitarkite su gydytoju arba vaistininku, prieš pradėdami vartoti Tobradex:</w:t>
      </w:r>
    </w:p>
    <w:p w:rsidR="00085B4A" w:rsidRPr="009C0798" w:rsidRDefault="00085B4A" w:rsidP="00085B4A">
      <w:pPr>
        <w:widowControl w:val="0"/>
        <w:numPr>
          <w:ilvl w:val="0"/>
          <w:numId w:val="6"/>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jei yra padidėjęs akispūdis (glaukoma). Rekomenduojama dažnai matuoti akispūdį. Tai ypač svarbu Tobradex vartojantiems vaikams ir paaugliams, kadangi jaunesniems kaip 6 metų vaikams kortikosteroidų sukelto akispūdžio padidėjimo rizika gali būti didesnė, be to, jiems toks sutrikimas gali pasireikšti anksčiau nei suaugusiems žmonėms. Kortikosteroidų sukelto akispūdžio padidėjimo </w:t>
      </w:r>
      <w:r w:rsidRPr="009C0798">
        <w:rPr>
          <w:rFonts w:ascii="Times New Roman" w:eastAsia="MS Mincho" w:hAnsi="Times New Roman" w:cs="Times New Roman"/>
          <w:sz w:val="22"/>
          <w:szCs w:val="22"/>
          <w:lang w:val="lt-LT"/>
        </w:rPr>
        <w:lastRenderedPageBreak/>
        <w:t>ir (arba) akies lęšiuko drumsties rizika yra didesnė polinkį minėtų sutrikimų atsiradimui turintiems pacientams, pvz., sergantiems cukriniu diabetu;</w:t>
      </w:r>
    </w:p>
    <w:p w:rsidR="00085B4A" w:rsidRPr="009C0798" w:rsidRDefault="00085B4A" w:rsidP="00085B4A">
      <w:pPr>
        <w:widowControl w:val="0"/>
        <w:numPr>
          <w:ilvl w:val="0"/>
          <w:numId w:val="6"/>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pasireiškia alerginė reakcija į Tobradex, nutraukite vaisto vartojimą ir kreipkitės į gydytoją. Alerginė reakcija gali būti įvairi (nuo vietinio niežėjimo ar odos paraudimo iki sunkios alerginės reakcijos (anafilasinės reakcijos) ar sunkios odos reakcijos). Tokių alerginių reakcijų gali atsirasti ir vartojant kitokių tos pačios grupės vietinio ar sisteminio poveikio antibiotikų (aminoglikozidų);</w:t>
      </w:r>
    </w:p>
    <w:p w:rsidR="00085B4A" w:rsidRDefault="00085B4A" w:rsidP="00085B4A">
      <w:pPr>
        <w:widowControl w:val="0"/>
        <w:numPr>
          <w:ilvl w:val="0"/>
          <w:numId w:val="6"/>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Jūsų simptomai pasunkėja ar staiga atsinaujina, pasitarkite su gydytoju. Vartojant šio vaisto, gali padidėti akies infekcijos atsiradimo pavojus, be to, gali sulėtėti akies žaizdos gijimas. Jei kartu vartojama lokalaus poveikio nesteroidinių vaistų nuo uždegimo ir kortikosteroidų, gali didėti ragenos žaizdų gijimo sutrikimų rizika;</w:t>
      </w:r>
    </w:p>
    <w:p w:rsidR="00085B4A" w:rsidRPr="009C0798" w:rsidRDefault="00085B4A" w:rsidP="00085B4A">
      <w:pPr>
        <w:widowControl w:val="0"/>
        <w:numPr>
          <w:ilvl w:val="0"/>
          <w:numId w:val="6"/>
        </w:numPr>
        <w:tabs>
          <w:tab w:val="clear" w:pos="360"/>
        </w:tabs>
        <w:spacing w:after="0" w:line="240" w:lineRule="auto"/>
        <w:ind w:left="567" w:hanging="567"/>
        <w:rPr>
          <w:rFonts w:ascii="Times New Roman" w:eastAsia="MS Mincho" w:hAnsi="Times New Roman" w:cs="Times New Roman"/>
          <w:sz w:val="22"/>
          <w:szCs w:val="22"/>
          <w:lang w:val="lt-LT"/>
        </w:rPr>
      </w:pPr>
      <w:r w:rsidRPr="00DB427E">
        <w:rPr>
          <w:rFonts w:ascii="Times New Roman" w:eastAsia="Times New Roman" w:hAnsi="Times New Roman" w:cs="Times New Roman"/>
          <w:noProof/>
          <w:sz w:val="22"/>
          <w:szCs w:val="22"/>
          <w:lang w:val="lt-LT"/>
        </w:rPr>
        <w:t xml:space="preserve">jeigu sergate </w:t>
      </w:r>
      <w:r>
        <w:rPr>
          <w:rFonts w:ascii="Times New Roman" w:eastAsia="Times New Roman" w:hAnsi="Times New Roman" w:cs="Times New Roman"/>
          <w:noProof/>
          <w:sz w:val="22"/>
          <w:szCs w:val="22"/>
          <w:lang w:val="lt-LT"/>
        </w:rPr>
        <w:t xml:space="preserve">ligomis, kurių metu pažeidžiamos nervų raumenų jungtys, pvz., generalizuota </w:t>
      </w:r>
      <w:r w:rsidRPr="00DB427E">
        <w:rPr>
          <w:rFonts w:ascii="Times New Roman" w:eastAsia="Times New Roman" w:hAnsi="Times New Roman" w:cs="Times New Roman"/>
          <w:noProof/>
          <w:sz w:val="22"/>
          <w:szCs w:val="22"/>
          <w:lang w:val="lt-LT"/>
        </w:rPr>
        <w:t>m</w:t>
      </w:r>
      <w:r w:rsidRPr="00DB427E">
        <w:rPr>
          <w:rFonts w:ascii="Times New Roman" w:eastAsia="Times New Roman" w:hAnsi="Times New Roman" w:cs="Times New Roman"/>
          <w:noProof/>
          <w:sz w:val="22"/>
          <w:szCs w:val="22"/>
        </w:rPr>
        <w:t xml:space="preserve">iastenija </w:t>
      </w:r>
      <w:r w:rsidRPr="00DB427E">
        <w:rPr>
          <w:rFonts w:ascii="Times New Roman" w:eastAsia="Times New Roman" w:hAnsi="Times New Roman" w:cs="Times New Roman"/>
          <w:noProof/>
          <w:sz w:val="22"/>
          <w:szCs w:val="22"/>
          <w:lang w:val="lt-LT"/>
        </w:rPr>
        <w:t xml:space="preserve">ar Parkinsono liga, pasitarkite su gydytoju. </w:t>
      </w:r>
      <w:r>
        <w:rPr>
          <w:rFonts w:ascii="Times New Roman" w:eastAsia="Times New Roman" w:hAnsi="Times New Roman" w:cs="Times New Roman"/>
          <w:noProof/>
          <w:sz w:val="22"/>
          <w:szCs w:val="22"/>
          <w:lang w:val="lt-LT"/>
        </w:rPr>
        <w:t>Aminoglikozidų grupės</w:t>
      </w:r>
      <w:r w:rsidRPr="00D2177E">
        <w:rPr>
          <w:rFonts w:ascii="Times New Roman" w:eastAsia="Times New Roman" w:hAnsi="Times New Roman" w:cs="Times New Roman"/>
          <w:noProof/>
          <w:sz w:val="22"/>
          <w:szCs w:val="22"/>
          <w:lang w:val="lt-LT"/>
        </w:rPr>
        <w:t xml:space="preserve"> antibiotikai</w:t>
      </w:r>
      <w:r>
        <w:rPr>
          <w:rFonts w:ascii="Times New Roman" w:eastAsia="Times New Roman" w:hAnsi="Times New Roman" w:cs="Times New Roman"/>
          <w:noProof/>
          <w:sz w:val="22"/>
          <w:szCs w:val="22"/>
          <w:lang w:val="lt-LT"/>
        </w:rPr>
        <w:t xml:space="preserve">, jiems priskiriamas tobramicinas, </w:t>
      </w:r>
      <w:r w:rsidRPr="00DB427E">
        <w:rPr>
          <w:rFonts w:ascii="Times New Roman" w:eastAsia="Times New Roman" w:hAnsi="Times New Roman" w:cs="Times New Roman"/>
          <w:noProof/>
          <w:sz w:val="22"/>
          <w:szCs w:val="22"/>
          <w:lang w:val="lt-LT"/>
        </w:rPr>
        <w:t>gali sustiprinti raumenų silpnumą;</w:t>
      </w:r>
    </w:p>
    <w:p w:rsidR="00085B4A" w:rsidRPr="009C0798" w:rsidRDefault="00085B4A" w:rsidP="00085B4A">
      <w:pPr>
        <w:widowControl w:val="0"/>
        <w:numPr>
          <w:ilvl w:val="0"/>
          <w:numId w:val="6"/>
        </w:numPr>
        <w:tabs>
          <w:tab w:val="clear" w:pos="360"/>
        </w:tabs>
        <w:spacing w:after="0" w:line="240" w:lineRule="auto"/>
        <w:ind w:left="567" w:hanging="567"/>
        <w:jc w:val="both"/>
        <w:rPr>
          <w:rFonts w:ascii="Times New Roman" w:eastAsia="MS Mincho" w:hAnsi="Times New Roman" w:cs="Times New Roman"/>
          <w:sz w:val="22"/>
          <w:szCs w:val="22"/>
          <w:lang w:val="lt-LT"/>
        </w:rPr>
      </w:pPr>
      <w:r>
        <w:rPr>
          <w:rFonts w:ascii="Times New Roman" w:eastAsia="MS Mincho" w:hAnsi="Times New Roman" w:cs="Times New Roman"/>
          <w:spacing w:val="-2"/>
          <w:sz w:val="22"/>
          <w:szCs w:val="22"/>
          <w:lang w:val="lt-LT"/>
        </w:rPr>
        <w:t>a</w:t>
      </w:r>
      <w:r w:rsidRPr="009C0798">
        <w:rPr>
          <w:rFonts w:ascii="Times New Roman" w:eastAsia="MS Mincho" w:hAnsi="Times New Roman" w:cs="Times New Roman"/>
          <w:spacing w:val="-2"/>
          <w:sz w:val="22"/>
          <w:szCs w:val="22"/>
          <w:lang w:val="lt-LT"/>
        </w:rPr>
        <w:t>kies uždegimo gydymo metu nerekomenduojama nešioti jokių (minkštųjų ar kietųjų) kontaktinių lęšių, kadangi būklė gali pasunkėti. Jei Jūsų sveikatos priežiūros specialistas mano, kad galite nešioti kontaktinius lęšius, prieš Tobradex vartojimą juos reikia išimti (vėl juos galima įdėti ne anksčiau kaip po 15 min.).</w:t>
      </w:r>
    </w:p>
    <w:p w:rsidR="00085B4A" w:rsidRPr="009C0798" w:rsidRDefault="00085B4A" w:rsidP="00085B4A">
      <w:pPr>
        <w:widowControl w:val="0"/>
        <w:tabs>
          <w:tab w:val="left" w:pos="567"/>
        </w:tabs>
        <w:spacing w:after="0" w:line="240" w:lineRule="auto"/>
        <w:ind w:left="360"/>
        <w:jc w:val="both"/>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Vartokite vaisto ne ilgiau, negu gydytojas nurodė. Jei būklė pablogėjo ar uždegimas nepraeina, kreipkitės į gydytoją.</w:t>
      </w: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 Tobradex akių lašų (suspensijos) vartojate ilgai, gali:</w:t>
      </w:r>
    </w:p>
    <w:p w:rsidR="00085B4A" w:rsidRPr="009C0798" w:rsidRDefault="00085B4A" w:rsidP="00085B4A">
      <w:pPr>
        <w:widowControl w:val="0"/>
        <w:numPr>
          <w:ilvl w:val="0"/>
          <w:numId w:val="8"/>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padidėti akies infekcijos pavojus;</w:t>
      </w:r>
    </w:p>
    <w:p w:rsidR="00085B4A" w:rsidRPr="009C0798" w:rsidRDefault="00085B4A" w:rsidP="00085B4A">
      <w:pPr>
        <w:widowControl w:val="0"/>
        <w:numPr>
          <w:ilvl w:val="0"/>
          <w:numId w:val="8"/>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padidėti akispūdis;</w:t>
      </w:r>
    </w:p>
    <w:p w:rsidR="00085B4A" w:rsidRPr="009C0798" w:rsidRDefault="00085B4A" w:rsidP="00085B4A">
      <w:pPr>
        <w:widowControl w:val="0"/>
        <w:numPr>
          <w:ilvl w:val="0"/>
          <w:numId w:val="8"/>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pasireikšti akies lęšiuko drumstis;</w:t>
      </w:r>
    </w:p>
    <w:p w:rsidR="00085B4A" w:rsidRDefault="00085B4A" w:rsidP="00085B4A">
      <w:pPr>
        <w:widowControl w:val="0"/>
        <w:numPr>
          <w:ilvl w:val="0"/>
          <w:numId w:val="8"/>
        </w:numPr>
        <w:tabs>
          <w:tab w:val="clear" w:pos="360"/>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dėl vaisto patekimo į kraują pasireikšti Kušingo sindromas. Pasakykite gydytojui, jeigu atsiranda patinimas ir kūno svorio padidėjimas liemens ir veido srityje, kadangi parastai tai yra pirmieji sindromo, vadinamo Kušingo sindromu, požymiai. Nutraukus ilgalaikį arba intensyvų gydymą Tobradex, gali pasireikšti antinksčių liaukų funkcijos slopinimas. Jeigu nuspręsite nutraukti gydymą, prieš tai pasitarkite su gydytoju. Tokia rizika yra ypač svarbi vaikams ir pacientams, kurie yra gydomi vaistais, vadinamais ritonaviru arba kobicistatu.</w:t>
      </w:r>
    </w:p>
    <w:p w:rsidR="00085B4A" w:rsidRPr="009C0798" w:rsidRDefault="00085B4A" w:rsidP="00085B4A">
      <w:pPr>
        <w:widowControl w:val="0"/>
        <w:spacing w:after="0" w:line="240" w:lineRule="auto"/>
        <w:ind w:left="567"/>
        <w:rPr>
          <w:rFonts w:ascii="Times New Roman" w:eastAsia="MS Mincho" w:hAnsi="Times New Roman" w:cs="Times New Roman"/>
          <w:sz w:val="22"/>
          <w:szCs w:val="22"/>
          <w:lang w:val="lt-LT"/>
        </w:rPr>
      </w:pP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Gydymas kortikosteroidais gali maskuoti arba paūminti pūlinę akies infekciją. Jeigu nuo kokios nors ligos ragena arba odena yra suplonėjusi, ant akių vartojant steroidų gali įvykti jų prakiurimas.</w:t>
      </w:r>
      <w:r w:rsidRPr="009C0798">
        <w:rPr>
          <w:rFonts w:ascii="Times New Roman" w:eastAsia="MS Mincho" w:hAnsi="Times New Roman" w:cs="Times New Roman"/>
          <w:sz w:val="22"/>
          <w:szCs w:val="22"/>
          <w:lang w:val="lt-LT"/>
        </w:rPr>
        <w:t xml:space="preserve"> </w:t>
      </w:r>
      <w:r w:rsidRPr="009C0798">
        <w:rPr>
          <w:rFonts w:ascii="Times New Roman" w:eastAsia="MS Mincho" w:hAnsi="Times New Roman" w:cs="Times New Roman"/>
          <w:spacing w:val="-2"/>
          <w:sz w:val="22"/>
          <w:szCs w:val="22"/>
          <w:lang w:val="lt-LT"/>
        </w:rPr>
        <w:t>Jei sergate bet kokia akies audinių suplonėjimą sukeliančia liga, prieš šio vaisto vartojimą pasitarkite su gydytoju arba vaistininku.</w:t>
      </w: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Jei kartu su Tobradex akių lašais (suspensija) vartojate kitų antibiotikų, įskaitant geriamuosius, apie tai pasakykite gydytojui.</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Svarbu žinoti, kad esant akių infekciniam uždegimui kontaktinių lęšių nešioti nerekomenduojama.</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pradėtumėte matyti lyg per miglą arba jums pasireikštų kitų regėjimo sutrikimų, kreipkitės į savo gydytoją.</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60" w:lineRule="exact"/>
        <w:jc w:val="both"/>
        <w:outlineLvl w:val="3"/>
        <w:rPr>
          <w:rFonts w:ascii="Times New Roman" w:eastAsia="Times New Roman" w:hAnsi="Times New Roman" w:cs="Times New Roman"/>
          <w:b/>
          <w:bCs/>
          <w:snapToGrid w:val="0"/>
          <w:sz w:val="22"/>
          <w:szCs w:val="22"/>
          <w:lang w:val="lt-LT" w:eastAsia="x-none"/>
        </w:rPr>
      </w:pPr>
      <w:r w:rsidRPr="009C0798">
        <w:rPr>
          <w:rFonts w:ascii="Times New Roman" w:eastAsia="Times New Roman" w:hAnsi="Times New Roman" w:cs="Times New Roman"/>
          <w:b/>
          <w:bCs/>
          <w:snapToGrid w:val="0"/>
          <w:sz w:val="22"/>
          <w:szCs w:val="22"/>
          <w:lang w:val="lt-LT" w:eastAsia="x-none"/>
        </w:rPr>
        <w:t>Vaikams</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Šio vaisto saugumas ir veiksmingumas jaunesniems nei dviejų metų vaikams nebuvo tirtas, todėl jiems šio vaisto reikia vartoti atsargiai.</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b/>
          <w:sz w:val="22"/>
          <w:szCs w:val="22"/>
          <w:lang w:val="lt-LT"/>
        </w:rPr>
      </w:pP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b/>
          <w:sz w:val="22"/>
          <w:szCs w:val="22"/>
          <w:lang w:val="lt-LT"/>
        </w:rPr>
        <w:t>Kiti vaistai ir Tobradex</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Jeigu vartojate ar neseniai vartojote kitų vaistų arba dėl to nesate tikri, apie tai pasakykite gydytojui arba vaistininkui.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Pasakykite gydytojui, jeigu vartojate ritonavirą arba kobicistatą, kadangi tai gali didinti deksametazono kiekį kraujyje.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Pasakykite gydytojui, jei kartu vartojate nesteroidinių vaistų nuo uždegimo</w:t>
      </w:r>
      <w:r w:rsidRPr="009C0798" w:rsidDel="006D3DB3">
        <w:rPr>
          <w:rFonts w:ascii="Times New Roman" w:eastAsia="MS Mincho" w:hAnsi="Times New Roman" w:cs="Times New Roman"/>
          <w:spacing w:val="-3"/>
          <w:sz w:val="22"/>
          <w:szCs w:val="22"/>
          <w:lang w:val="lt-LT"/>
        </w:rPr>
        <w:t xml:space="preserve"> </w:t>
      </w:r>
      <w:r w:rsidRPr="009C0798">
        <w:rPr>
          <w:rFonts w:ascii="Times New Roman" w:eastAsia="MS Mincho" w:hAnsi="Times New Roman" w:cs="Times New Roman"/>
          <w:spacing w:val="-3"/>
          <w:sz w:val="22"/>
          <w:szCs w:val="22"/>
          <w:lang w:val="lt-LT"/>
        </w:rPr>
        <w:t xml:space="preserve">ir kortikosteroidų. Jei kartu vartojama lokalaus poveikio </w:t>
      </w:r>
      <w:r w:rsidRPr="009C0798">
        <w:rPr>
          <w:rFonts w:ascii="Times New Roman" w:eastAsia="MS Mincho" w:hAnsi="Times New Roman" w:cs="Times New Roman"/>
          <w:sz w:val="22"/>
          <w:szCs w:val="22"/>
          <w:lang w:val="lt-LT"/>
        </w:rPr>
        <w:t>nesteroidinių vaistų nuo uždegimo</w:t>
      </w:r>
      <w:r w:rsidRPr="009C0798">
        <w:rPr>
          <w:rFonts w:ascii="Times New Roman" w:eastAsia="MS Mincho" w:hAnsi="Times New Roman" w:cs="Times New Roman"/>
          <w:spacing w:val="-3"/>
          <w:sz w:val="22"/>
          <w:szCs w:val="22"/>
          <w:lang w:val="lt-LT"/>
        </w:rPr>
        <w:t xml:space="preserve"> ir kortikosteroidų, gali didėti akių žaizdų gijimo sutrikimų rizika.</w:t>
      </w: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Esama pranešimų apie bendrai vartojamų atskirų sudedamųjų dalių sąveiką. Tačiau tobramicino ir deksametazono absorbcija yra tokia maža, kad bet kokios sąveikos pavojaus beveik nėra.</w:t>
      </w: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Jei vartojate ir kitų akių lašų ar akių tepalų, tarp kiekvieno vaisto vartojimo turi praeiti ne mažiau kaip 5 minutės. Akių tepalas turi būti vartojamas paskutinis.</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Nėštumas ir žindymo laikotarpis</w:t>
      </w:r>
    </w:p>
    <w:p w:rsidR="00085B4A" w:rsidRPr="009C0798" w:rsidRDefault="00085B4A" w:rsidP="00085B4A">
      <w:pPr>
        <w:widowControl w:val="0"/>
        <w:tabs>
          <w:tab w:val="left" w:pos="567"/>
        </w:tabs>
        <w:spacing w:after="0" w:line="240" w:lineRule="auto"/>
        <w:rPr>
          <w:rFonts w:ascii="Times New Roman" w:eastAsia="SimSun" w:hAnsi="Times New Roman" w:cs="Times New Roman"/>
          <w:sz w:val="22"/>
          <w:szCs w:val="22"/>
          <w:lang w:val="lt-LT" w:eastAsia="lt-LT"/>
        </w:rPr>
      </w:pPr>
      <w:r w:rsidRPr="009C0798">
        <w:rPr>
          <w:rFonts w:ascii="Times New Roman" w:eastAsia="SimSun" w:hAnsi="Times New Roman" w:cs="Times New Roman"/>
          <w:sz w:val="22"/>
          <w:szCs w:val="22"/>
          <w:lang w:val="lt-LT" w:eastAsia="lt-LT"/>
        </w:rPr>
        <w:t>Jeigu esate nėščia, žindote kūdikį, manote, kad galbūt esate nėščia arba planuojate pastoti, tai prieš vartodama šį vaistą pasitarkite su gydytoju arba vaistininku.</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Tobradex vartoti nėštumo metu arba žindant nerekomenduojama.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Vairavimas ir mechanizmų valdymas</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r w:rsidRPr="00465C15">
        <w:rPr>
          <w:rFonts w:ascii="Times New Roman" w:eastAsia="MS Mincho" w:hAnsi="Times New Roman" w:cs="Times New Roman"/>
          <w:sz w:val="22"/>
          <w:szCs w:val="22"/>
          <w:lang w:val="lt-LT"/>
        </w:rPr>
        <w:t>Tobradex</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gebėjimo vairuoti ir valdyti mechanizmus neveikia arba veikia nereikšmingai.</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Iš karto įsilašinus Tobradex trumpam matymas gali būti neryškus. Nevairuokite automobilio ir nedirbkite su mechanizmais, kol matymas nepagerės.</w:t>
      </w: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sudėtyje yra benzalkonio chlorido</w:t>
      </w:r>
    </w:p>
    <w:p w:rsidR="00085B4A" w:rsidRPr="00783CC4" w:rsidRDefault="00085B4A" w:rsidP="00085B4A">
      <w:pPr>
        <w:widowControl w:val="0"/>
        <w:tabs>
          <w:tab w:val="left" w:pos="567"/>
        </w:tabs>
        <w:spacing w:after="0" w:line="240" w:lineRule="auto"/>
        <w:rPr>
          <w:rFonts w:ascii="Times New Roman" w:hAnsi="Times New Roman"/>
          <w:sz w:val="22"/>
          <w:lang w:val="lt-LT"/>
        </w:rPr>
      </w:pPr>
      <w:r>
        <w:rPr>
          <w:rFonts w:ascii="Times New Roman" w:eastAsia="MS Mincho" w:hAnsi="Times New Roman" w:cs="Times New Roman"/>
          <w:sz w:val="22"/>
          <w:szCs w:val="22"/>
          <w:lang w:val="lt-LT"/>
        </w:rPr>
        <w:t>5 </w:t>
      </w:r>
      <w:r w:rsidRPr="00783CC4">
        <w:rPr>
          <w:rFonts w:ascii="Times New Roman" w:hAnsi="Times New Roman"/>
          <w:sz w:val="22"/>
          <w:lang w:val="lt-LT"/>
        </w:rPr>
        <w:t xml:space="preserve">ml </w:t>
      </w:r>
      <w:r>
        <w:rPr>
          <w:rFonts w:ascii="Times New Roman" w:eastAsia="MS Mincho" w:hAnsi="Times New Roman" w:cs="Times New Roman"/>
          <w:sz w:val="22"/>
          <w:szCs w:val="22"/>
          <w:lang w:val="lt-LT"/>
        </w:rPr>
        <w:t xml:space="preserve">šio vaisto </w:t>
      </w:r>
      <w:r w:rsidRPr="00783CC4">
        <w:rPr>
          <w:rFonts w:ascii="Times New Roman" w:hAnsi="Times New Roman"/>
          <w:sz w:val="22"/>
          <w:lang w:val="lt-LT"/>
        </w:rPr>
        <w:t>yra 0,</w:t>
      </w:r>
      <w:r>
        <w:rPr>
          <w:rFonts w:ascii="Times New Roman" w:eastAsia="MS Mincho" w:hAnsi="Times New Roman" w:cs="Times New Roman"/>
          <w:sz w:val="22"/>
          <w:szCs w:val="22"/>
          <w:lang w:val="lt-LT"/>
        </w:rPr>
        <w:t>5</w:t>
      </w:r>
      <w:r w:rsidRPr="00783CC4">
        <w:rPr>
          <w:rFonts w:ascii="Times New Roman" w:hAnsi="Times New Roman"/>
          <w:sz w:val="22"/>
          <w:lang w:val="lt-LT"/>
        </w:rPr>
        <w:t> mg benzalkonio chlorido</w:t>
      </w:r>
      <w:r>
        <w:rPr>
          <w:rFonts w:ascii="Times New Roman" w:eastAsia="MS Mincho" w:hAnsi="Times New Roman" w:cs="Times New Roman"/>
          <w:sz w:val="22"/>
          <w:szCs w:val="22"/>
          <w:lang w:val="lt-LT"/>
        </w:rPr>
        <w:t>, tai atitinka 0,1 </w:t>
      </w:r>
      <w:r w:rsidRPr="00704411">
        <w:rPr>
          <w:rFonts w:ascii="Times New Roman" w:eastAsia="MS Mincho" w:hAnsi="Times New Roman" w:cs="Times New Roman"/>
          <w:sz w:val="22"/>
          <w:szCs w:val="22"/>
          <w:lang w:val="lt-LT"/>
        </w:rPr>
        <w:t>mg/ml</w:t>
      </w:r>
      <w:r w:rsidRPr="00783CC4">
        <w:rPr>
          <w:rFonts w:ascii="Times New Roman" w:hAnsi="Times New Roman"/>
          <w:sz w:val="22"/>
          <w:lang w:val="lt-LT"/>
        </w:rPr>
        <w:t>.</w:t>
      </w:r>
    </w:p>
    <w:p w:rsidR="00085B4A" w:rsidRPr="00704411"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704411">
        <w:rPr>
          <w:rFonts w:ascii="Times New Roman" w:eastAsia="MS Mincho" w:hAnsi="Times New Roman" w:cs="Times New Roman"/>
          <w:sz w:val="22"/>
          <w:szCs w:val="22"/>
          <w:lang w:val="lt-LT"/>
        </w:rPr>
        <w:t>Minkštieji kontaktiniai lęšiai gali absorbuoti benzalkonio chloridą ir gali pasikeisti kontaktinių lęšių spalva. Prieš šio vaisto vartojimą kontaktinius lęšius reikia išimti ir vėl juos galima įdėti ne anksčiau kaip po 15</w:t>
      </w:r>
      <w:r>
        <w:rPr>
          <w:rFonts w:ascii="Times New Roman" w:eastAsia="MS Mincho" w:hAnsi="Times New Roman" w:cs="Times New Roman"/>
          <w:sz w:val="22"/>
          <w:szCs w:val="22"/>
          <w:lang w:val="lt-LT"/>
        </w:rPr>
        <w:t> </w:t>
      </w:r>
      <w:r w:rsidRPr="00704411">
        <w:rPr>
          <w:rFonts w:ascii="Times New Roman" w:eastAsia="MS Mincho" w:hAnsi="Times New Roman" w:cs="Times New Roman"/>
          <w:sz w:val="22"/>
          <w:szCs w:val="22"/>
          <w:lang w:val="lt-LT"/>
        </w:rPr>
        <w:t>min.</w:t>
      </w:r>
    </w:p>
    <w:p w:rsidR="00085B4A" w:rsidRPr="00465C15"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704411">
        <w:rPr>
          <w:rFonts w:ascii="Times New Roman" w:eastAsia="MS Mincho" w:hAnsi="Times New Roman" w:cs="Times New Roman"/>
          <w:sz w:val="22"/>
          <w:szCs w:val="22"/>
          <w:lang w:val="lt-LT"/>
        </w:rPr>
        <w:t>Benzalkonio chloridas gali sudirginti akis, ypač jei Jums yra akių sausmė ar ragenos (akies priekinę dalį gaubiančio skaidraus sluoksnio) pažeidimų. Jeigu pavartojus šio vaisto jaučiate nenormalų pojūtį akyje, deginimą ar skausmą, pasitarkite su gydytoju.</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jc w:val="both"/>
        <w:rPr>
          <w:rFonts w:ascii="Times New Roman" w:eastAsia="MS Mincho" w:hAnsi="Times New Roman" w:cs="Times New Roman"/>
          <w:sz w:val="22"/>
          <w:szCs w:val="22"/>
          <w:lang w:val="lt-LT"/>
        </w:rPr>
      </w:pPr>
    </w:p>
    <w:p w:rsidR="00085B4A" w:rsidRPr="009C0798" w:rsidRDefault="00085B4A" w:rsidP="00085B4A">
      <w:pPr>
        <w:widowControl w:val="0"/>
        <w:numPr>
          <w:ilvl w:val="0"/>
          <w:numId w:val="3"/>
        </w:numPr>
        <w:tabs>
          <w:tab w:val="clear" w:pos="360"/>
        </w:tabs>
        <w:spacing w:after="0" w:line="240" w:lineRule="auto"/>
        <w:ind w:left="540" w:hanging="540"/>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Kaip vartoti Tobradex</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Visada vartokite šį vaistą tiksliai</w:t>
      </w:r>
      <w:r>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 xml:space="preserve"> kaip nurodė gydytojas. Jeigu abejojate, kreipkitės į gydytoją arba vaistininką.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galima lašinti</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tik</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 xml:space="preserve">ant akių. Vaisto vartojimo trukmę jums nurodys gydytojas. </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i/>
          <w:spacing w:val="-2"/>
          <w:sz w:val="22"/>
          <w:szCs w:val="22"/>
          <w:lang w:val="lt-LT"/>
        </w:rPr>
      </w:pPr>
      <w:r w:rsidRPr="009C0798">
        <w:rPr>
          <w:rFonts w:ascii="Times New Roman" w:eastAsia="MS Mincho" w:hAnsi="Times New Roman" w:cs="Times New Roman"/>
          <w:i/>
          <w:spacing w:val="-2"/>
          <w:sz w:val="22"/>
          <w:szCs w:val="22"/>
          <w:lang w:val="lt-LT"/>
        </w:rPr>
        <w:t>Suaugusiesiems</w:t>
      </w:r>
    </w:p>
    <w:p w:rsidR="00085B4A"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Po vieną lašą kas 4</w:t>
      </w:r>
      <w:r w:rsidRPr="009C0798">
        <w:rPr>
          <w:rFonts w:ascii="Times New Roman" w:eastAsia="MS Mincho" w:hAnsi="Times New Roman" w:cs="Times New Roman"/>
          <w:spacing w:val="-2"/>
          <w:sz w:val="22"/>
          <w:szCs w:val="22"/>
          <w:lang w:val="lt-LT"/>
        </w:rPr>
        <w:noBreakHyphen/>
        <w:t>6 valandas; lašinama į vienos ar abiejų akių junginės maišelį. Jei reikia, pirmąsias 24</w:t>
      </w:r>
      <w:r w:rsidRPr="009C0798">
        <w:rPr>
          <w:rFonts w:ascii="Times New Roman" w:eastAsia="MS Mincho" w:hAnsi="Times New Roman" w:cs="Times New Roman"/>
          <w:spacing w:val="-2"/>
          <w:sz w:val="22"/>
          <w:szCs w:val="22"/>
          <w:lang w:val="lt-LT"/>
        </w:rPr>
        <w:noBreakHyphen/>
        <w:t xml:space="preserve">48 valandas po operacijos galima lašinti dažniau – po vieną lašą kas dvi valandas (pacientui nemiegant). </w:t>
      </w:r>
      <w:r w:rsidRPr="009C0798">
        <w:rPr>
          <w:rFonts w:ascii="Times New Roman" w:eastAsia="MS Mincho" w:hAnsi="Times New Roman" w:cs="Times New Roman"/>
          <w:sz w:val="22"/>
          <w:szCs w:val="22"/>
          <w:lang w:val="lt-LT"/>
        </w:rPr>
        <w:t xml:space="preserve">Vaisto galima vartoti ne ilgiau </w:t>
      </w:r>
      <w:r w:rsidRPr="009C0798">
        <w:rPr>
          <w:rFonts w:ascii="Times New Roman" w:eastAsia="MS Mincho" w:hAnsi="Times New Roman" w:cs="Times New Roman"/>
          <w:spacing w:val="-2"/>
          <w:sz w:val="22"/>
          <w:szCs w:val="22"/>
          <w:lang w:val="lt-LT"/>
        </w:rPr>
        <w:t xml:space="preserve">kaip 24 paras. Uždegimo simptomams silpnėjant, vaisto vartojimo dažnį reikia palaipsniui mažinti. </w:t>
      </w: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rsidR="00085B4A" w:rsidRPr="009C0798" w:rsidRDefault="00085B4A" w:rsidP="00085B4A">
      <w:pPr>
        <w:widowControl w:val="0"/>
        <w:suppressLineNumbers/>
        <w:tabs>
          <w:tab w:val="left" w:pos="567"/>
          <w:tab w:val="left" w:pos="1418"/>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Įsilašinus vaisto rekomenduojama atsargiai užsimerkti ir užspausti nosinį ašarų lataką. Tai gali sumažinti į kraują patenkančio vaisto kiekį ir </w:t>
      </w:r>
      <w:r>
        <w:rPr>
          <w:rFonts w:ascii="Times New Roman" w:eastAsia="MS Mincho" w:hAnsi="Times New Roman" w:cs="Times New Roman"/>
          <w:spacing w:val="-2"/>
          <w:sz w:val="22"/>
          <w:szCs w:val="22"/>
          <w:lang w:val="lt-LT"/>
        </w:rPr>
        <w:t>sisteminį</w:t>
      </w:r>
      <w:r w:rsidRPr="009C0798">
        <w:rPr>
          <w:rFonts w:ascii="Times New Roman" w:eastAsia="MS Mincho" w:hAnsi="Times New Roman" w:cs="Times New Roman"/>
          <w:spacing w:val="-2"/>
          <w:sz w:val="22"/>
          <w:szCs w:val="22"/>
          <w:lang w:val="lt-LT"/>
        </w:rPr>
        <w:t xml:space="preserve"> šalutinį poveikį.</w:t>
      </w: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vartojama ir kitų lokalaus poveikio akių vaistų, tarp vienų ir kitų lašinimo reikia daryti mažiausiai 5 minučių pertrauką. Akių tepalo reikia tepti paskutinio.</w:t>
      </w: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z w:val="22"/>
          <w:szCs w:val="22"/>
          <w:u w:val="single"/>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i/>
          <w:sz w:val="22"/>
          <w:szCs w:val="22"/>
          <w:lang w:val="lt-LT"/>
        </w:rPr>
      </w:pPr>
      <w:r w:rsidRPr="009C0798">
        <w:rPr>
          <w:rFonts w:ascii="Times New Roman" w:eastAsia="MS Mincho" w:hAnsi="Times New Roman" w:cs="Times New Roman"/>
          <w:i/>
          <w:sz w:val="22"/>
          <w:szCs w:val="22"/>
          <w:lang w:val="lt-LT"/>
        </w:rPr>
        <w:t>Senyviems pacientams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Senyviems žmonėms dozės keisti nereikia.</w:t>
      </w:r>
    </w:p>
    <w:p w:rsidR="00085B4A" w:rsidRPr="009C0798" w:rsidRDefault="00085B4A" w:rsidP="00085B4A">
      <w:pPr>
        <w:widowControl w:val="0"/>
        <w:suppressLineNumbers/>
        <w:tabs>
          <w:tab w:val="left" w:pos="0"/>
          <w:tab w:val="left" w:pos="567"/>
        </w:tabs>
        <w:suppressAutoHyphens/>
        <w:spacing w:after="0" w:line="240" w:lineRule="auto"/>
        <w:rPr>
          <w:rFonts w:ascii="Times New Roman" w:eastAsia="MS Mincho" w:hAnsi="Times New Roman" w:cs="Times New Roman"/>
          <w:spacing w:val="-2"/>
          <w:sz w:val="22"/>
          <w:szCs w:val="22"/>
          <w:lang w:val="lt-LT"/>
        </w:rPr>
      </w:pPr>
    </w:p>
    <w:p w:rsidR="00085B4A" w:rsidRPr="009C0798" w:rsidRDefault="00085B4A" w:rsidP="00085B4A">
      <w:pPr>
        <w:widowControl w:val="0"/>
        <w:suppressLineNumbers/>
        <w:tabs>
          <w:tab w:val="left" w:pos="567"/>
          <w:tab w:val="left" w:pos="1418"/>
        </w:tabs>
        <w:suppressAutoHyphens/>
        <w:spacing w:after="0" w:line="240" w:lineRule="auto"/>
        <w:ind w:left="1418" w:hanging="1418"/>
        <w:rPr>
          <w:rFonts w:ascii="Times New Roman" w:eastAsia="MS Mincho" w:hAnsi="Times New Roman" w:cs="Times New Roman"/>
          <w:b/>
          <w:bCs/>
          <w:spacing w:val="-2"/>
          <w:sz w:val="22"/>
          <w:szCs w:val="22"/>
          <w:u w:val="single"/>
          <w:lang w:val="lt-LT"/>
        </w:rPr>
      </w:pPr>
      <w:r w:rsidRPr="009C0798">
        <w:rPr>
          <w:rFonts w:ascii="Times New Roman" w:eastAsia="MS Mincho" w:hAnsi="Times New Roman" w:cs="Times New Roman"/>
          <w:b/>
          <w:bCs/>
          <w:sz w:val="22"/>
          <w:szCs w:val="22"/>
          <w:lang w:val="lt-LT"/>
        </w:rPr>
        <w:t>Vartojimas vaikams ir paaugliams</w:t>
      </w:r>
    </w:p>
    <w:p w:rsidR="00085B4A" w:rsidRPr="009C0798" w:rsidRDefault="00085B4A" w:rsidP="00085B4A">
      <w:pPr>
        <w:widowControl w:val="0"/>
        <w:suppressLineNumbers/>
        <w:tabs>
          <w:tab w:val="left" w:pos="-90"/>
          <w:tab w:val="left" w:pos="567"/>
        </w:tabs>
        <w:suppressAutoHyphens/>
        <w:spacing w:after="0" w:line="240" w:lineRule="auto"/>
        <w:rPr>
          <w:rFonts w:ascii="Times New Roman" w:eastAsia="MS Mincho" w:hAnsi="Times New Roman" w:cs="Times New Roman"/>
          <w:spacing w:val="-2"/>
          <w:sz w:val="22"/>
          <w:szCs w:val="22"/>
          <w:lang w:val="lt-LT"/>
        </w:rPr>
      </w:pPr>
      <w:r w:rsidRPr="009C0798">
        <w:rPr>
          <w:rFonts w:ascii="Times New Roman" w:eastAsia="MS Mincho" w:hAnsi="Times New Roman" w:cs="Times New Roman"/>
          <w:spacing w:val="-2"/>
          <w:sz w:val="22"/>
          <w:szCs w:val="22"/>
          <w:lang w:val="lt-LT"/>
        </w:rPr>
        <w:t xml:space="preserve">Tobradex gali vartoti 2 metų ir vyresni vaikai ir paaugliai tokiomis pačiomis dozėmis kaip ir suaugę žmonės. Šio vaisto veiksmingumas ir saugumas jaunesniems kaip 2 metų vaikams nenustatytas, duomenų nėra.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suppressLineNumbers/>
        <w:tabs>
          <w:tab w:val="left" w:pos="-720"/>
          <w:tab w:val="left" w:pos="0"/>
          <w:tab w:val="left" w:pos="567"/>
          <w:tab w:val="left" w:pos="720"/>
        </w:tabs>
        <w:suppressAutoHyphens/>
        <w:spacing w:after="0" w:line="240" w:lineRule="auto"/>
        <w:ind w:left="1440" w:hanging="1440"/>
        <w:jc w:val="both"/>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Vartojimo metodas </w:t>
      </w:r>
    </w:p>
    <w:p w:rsidR="00085B4A" w:rsidRPr="009C0798" w:rsidRDefault="00085B4A" w:rsidP="00085B4A">
      <w:pPr>
        <w:widowControl w:val="0"/>
        <w:numPr>
          <w:ilvl w:val="12"/>
          <w:numId w:val="0"/>
        </w:numPr>
        <w:tabs>
          <w:tab w:val="left" w:pos="567"/>
        </w:tabs>
        <w:spacing w:after="0" w:line="240" w:lineRule="auto"/>
        <w:ind w:right="-2"/>
        <w:rPr>
          <w:rFonts w:ascii="Times New Roman" w:eastAsia="MS Mincho" w:hAnsi="Times New Roman" w:cs="Times New Roman"/>
          <w:sz w:val="22"/>
          <w:szCs w:val="22"/>
          <w:lang w:val="lt-LT"/>
        </w:rPr>
      </w:pPr>
      <w:r w:rsidRPr="009C0798">
        <w:rPr>
          <w:rFonts w:ascii="Calibri" w:eastAsia="Calibri" w:hAnsi="Calibri" w:cs="Times New Roman"/>
          <w:noProof/>
          <w:sz w:val="22"/>
          <w:szCs w:val="22"/>
          <w:lang w:val="lt-LT" w:eastAsia="lt-LT"/>
        </w:rPr>
        <w:drawing>
          <wp:anchor distT="0" distB="0" distL="114300" distR="114300" simplePos="0" relativeHeight="251661312" behindDoc="1" locked="0" layoutInCell="1" allowOverlap="1" wp14:anchorId="604194F9" wp14:editId="4EFD0167">
            <wp:simplePos x="0" y="0"/>
            <wp:positionH relativeFrom="column">
              <wp:posOffset>1414145</wp:posOffset>
            </wp:positionH>
            <wp:positionV relativeFrom="paragraph">
              <wp:posOffset>-156210</wp:posOffset>
            </wp:positionV>
            <wp:extent cx="1828800" cy="1503045"/>
            <wp:effectExtent l="0" t="0" r="0" b="1905"/>
            <wp:wrapNone/>
            <wp:docPr id="5"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1828800" cy="1503045"/>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798">
        <w:rPr>
          <w:rFonts w:ascii="Calibri" w:eastAsia="Calibri" w:hAnsi="Calibri" w:cs="Times New Roman"/>
          <w:noProof/>
          <w:sz w:val="22"/>
          <w:szCs w:val="22"/>
          <w:lang w:val="lt-LT" w:eastAsia="lt-LT"/>
        </w:rPr>
        <w:drawing>
          <wp:anchor distT="0" distB="0" distL="114300" distR="114300" simplePos="0" relativeHeight="251660288" behindDoc="0" locked="0" layoutInCell="1" allowOverlap="1" wp14:anchorId="5B2BAA4D" wp14:editId="35313CAA">
            <wp:simplePos x="0" y="0"/>
            <wp:positionH relativeFrom="column">
              <wp:posOffset>4951730</wp:posOffset>
            </wp:positionH>
            <wp:positionV relativeFrom="paragraph">
              <wp:posOffset>107950</wp:posOffset>
            </wp:positionV>
            <wp:extent cx="1005840" cy="1002030"/>
            <wp:effectExtent l="0" t="0" r="3810" b="7620"/>
            <wp:wrapTopAndBottom/>
            <wp:docPr id="4" name="Picture 2" descr="pict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pict7"/>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bwMode="auto">
                    <a:xfrm>
                      <a:off x="0" y="0"/>
                      <a:ext cx="1005840" cy="1002030"/>
                    </a:xfrm>
                    <a:prstGeom prst="rect">
                      <a:avLst/>
                    </a:prstGeom>
                    <a:noFill/>
                    <a:ln>
                      <a:noFill/>
                    </a:ln>
                  </pic:spPr>
                </pic:pic>
              </a:graphicData>
            </a:graphic>
            <wp14:sizeRelH relativeFrom="page">
              <wp14:pctWidth>0</wp14:pctWidth>
            </wp14:sizeRelH>
            <wp14:sizeRelV relativeFrom="page">
              <wp14:pctHeight>0</wp14:pctHeight>
            </wp14:sizeRelV>
          </wp:anchor>
        </w:drawing>
      </w:r>
      <w:r w:rsidRPr="009C0798">
        <w:rPr>
          <w:rFonts w:ascii="Calibri" w:eastAsia="Calibri" w:hAnsi="Calibri" w:cs="Times New Roman"/>
          <w:noProof/>
          <w:sz w:val="22"/>
          <w:szCs w:val="22"/>
          <w:lang w:val="lt-LT" w:eastAsia="lt-LT"/>
        </w:rPr>
        <w:drawing>
          <wp:anchor distT="0" distB="0" distL="114300" distR="114300" simplePos="0" relativeHeight="251659264" behindDoc="1" locked="0" layoutInCell="1" allowOverlap="1" wp14:anchorId="3CF126CA" wp14:editId="0A69F5D8">
            <wp:simplePos x="0" y="0"/>
            <wp:positionH relativeFrom="column">
              <wp:posOffset>3122930</wp:posOffset>
            </wp:positionH>
            <wp:positionV relativeFrom="paragraph">
              <wp:posOffset>-6350</wp:posOffset>
            </wp:positionV>
            <wp:extent cx="1737360" cy="1370330"/>
            <wp:effectExtent l="0" t="0" r="0" b="1270"/>
            <wp:wrapNone/>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1737360" cy="1370330"/>
                    </a:xfrm>
                    <a:prstGeom prst="rect">
                      <a:avLst/>
                    </a:prstGeom>
                    <a:noFill/>
                    <a:ln>
                      <a:noFill/>
                    </a:ln>
                  </pic:spPr>
                </pic:pic>
              </a:graphicData>
            </a:graphic>
            <wp14:sizeRelH relativeFrom="page">
              <wp14:pctWidth>0</wp14:pctWidth>
            </wp14:sizeRelH>
            <wp14:sizeRelV relativeFrom="page">
              <wp14:pctHeight>0</wp14:pctHeight>
            </wp14:sizeRelV>
          </wp:anchor>
        </w:drawing>
      </w:r>
      <w:r>
        <w:rPr>
          <w:rFonts w:ascii="Times New Roman" w:eastAsia="MS Mincho" w:hAnsi="Times New Roman" w:cs="Times New Roman"/>
          <w:b/>
          <w:i/>
          <w:color w:val="000000"/>
          <w:sz w:val="22"/>
          <w:szCs w:val="22"/>
          <w:lang w:val="lt-LT"/>
        </w:rPr>
        <w:object w:dxaOrig="1440" w:dyaOrig="1440">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margin-left:8.3pt;margin-top:6.85pt;width:89.6pt;height:90.25pt;z-index:-251654144;visibility:visible;mso-wrap-edited:f;mso-position-horizontal-relative:text;mso-position-vertical-relative:text" wrapcoords="-140 0 -140 21461 21600 21461 21600 0 -140 0" o:allowincell="f" fillcolor="window">
            <v:imagedata r:id="rId8" o:title=""/>
          </v:shape>
          <o:OLEObject Type="Embed" ProgID="Word.Picture.8" ShapeID="_x0000_s1026" DrawAspect="Content" ObjectID="_1800790631" r:id="rId9"/>
        </w:objec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1</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2</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3</w:t>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r>
      <w:r w:rsidRPr="009C0798">
        <w:rPr>
          <w:rFonts w:ascii="Times New Roman" w:eastAsia="MS Mincho" w:hAnsi="Times New Roman" w:cs="Times New Roman"/>
          <w:sz w:val="22"/>
          <w:szCs w:val="22"/>
          <w:lang w:val="lt-LT"/>
        </w:rPr>
        <w:tab/>
        <w:t>4</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Paimkite Tobradex buteliuką ir veidrodėlį.</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Nusiplaukite rankas.</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Gerai suplakite talpyklės turinį.</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Atsukite talpyklės dangtelį. Pirmą kartą atidarę talpyklę nuimkite dangtelio žiedelį, jei jis atsilaisvina.</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Laikykite apverstą talpyklę vienos rankos nykščiu ir didžiuoju pirštu (1 pav.).</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Atloškite galvą. Kitos rankos smiliumi atsargiai patraukite žemyn apatinį voką, kad tarp voko ir akies obuolio susidarytų „kišenėlė”. Ten ir reikia lašinti (2 pav.).</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Laikykite lašintuvo galiuką virš akies. Naudokitės veidrodėliu, jei tai padeda.</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Nelieskite lašintuvo galiuku akies, voko ar kito paviršiaus, nes lašai gali užsiteršti.</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Lengvas paspaudimas smiliumi apverstos talpyklės dugno, leis vienu metu išlašėti tik vienam Tobradex lašui (3 pav.).</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Įlašinę Tobradex atleiskite apatinį voką, užsimerkite ir nestipriai užspauskite pirštu akies kampą prie nosies (4 pav.). Tai apsaugos, kad mažiau Tobradex patektų į visą organizmą.</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Jei reikia vaistą lašinti į abi akis, tokiu pačiu būdu įsilašinkite vaisto į kitą akį. </w:t>
      </w:r>
    </w:p>
    <w:p w:rsidR="00085B4A" w:rsidRPr="009C0798" w:rsidRDefault="00085B4A" w:rsidP="00085B4A">
      <w:pPr>
        <w:widowControl w:val="0"/>
        <w:numPr>
          <w:ilvl w:val="0"/>
          <w:numId w:val="4"/>
        </w:numPr>
        <w:tabs>
          <w:tab w:val="clear" w:pos="360"/>
          <w:tab w:val="num" w:pos="0"/>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Įsilašinę vaisto, iš karto uždėkite ir sandariai užsukite talpyklės dangtelį.</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 nepataikėte vaisto įsilašinti į akį, bandykite dar kartą.</w:t>
      </w: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Ką daryti pavartojus per didelę Tobradex dozę</w:t>
      </w:r>
    </w:p>
    <w:p w:rsidR="00085B4A" w:rsidRPr="009C0798" w:rsidRDefault="00085B4A" w:rsidP="00085B4A">
      <w:pPr>
        <w:widowControl w:val="0"/>
        <w:suppressLineNumbers/>
        <w:tabs>
          <w:tab w:val="left" w:pos="567"/>
        </w:tabs>
        <w:suppressAutoHyphen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Per daug įsilašinus Tobradex, akis galima plauti drungnu vandeniu. Kitą kartą lašų lašinkite tik tada, kai ateis laikas vartoti įprastą dozę.</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Pamiršus pavartoti Tobradex</w:t>
      </w:r>
    </w:p>
    <w:p w:rsidR="00085B4A" w:rsidRPr="009C0798" w:rsidRDefault="00085B4A" w:rsidP="00085B4A">
      <w:pPr>
        <w:widowControl w:val="0"/>
        <w:tabs>
          <w:tab w:val="left" w:pos="567"/>
        </w:tabs>
        <w:spacing w:after="0" w:line="240" w:lineRule="auto"/>
        <w:outlineLvl w:val="0"/>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Negalima vartoti dvigubos dozės norint kompensuoti praleistą dozę. Jei užmiršote įsilašinti Tobradex</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 xml:space="preserve">įsilašinkite vieną dozę, iš karto, kai tik prisiminsite. Jei beveik atėjęs laikas lašintis kitą kartą, praleiskite užmirštąją dozę ir toliau vartokite vaistą įprastu laiku.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Nustojus vartoti Tobradex</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Per anksti nustojus vartoti Tobradex, gali atsinaujinti liga.</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Jeigu kiltų daugiau klausimų dėl šio vaisto, kreipkitės į gydytoją arba vaistininką.</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5"/>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Galimas šalutinis poveikis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Šis vaistas, kaip ir visi kiti, gali sukelti šalutinį poveikį, nors jis pasireiškia ne visiems žmonėms.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Nustatytas toliau išvardytas šalutinis poveikis, galintis pasireikšti vartojant Tobradex akių lašų (suspensijos).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B355D0" w:rsidRDefault="00085B4A" w:rsidP="00085B4A">
      <w:pPr>
        <w:widowControl w:val="0"/>
        <w:tabs>
          <w:tab w:val="left" w:pos="567"/>
        </w:tabs>
        <w:spacing w:after="0" w:line="240" w:lineRule="auto"/>
        <w:rPr>
          <w:rFonts w:ascii="Times New Roman" w:eastAsia="MS Mincho" w:hAnsi="Times New Roman" w:cs="Times New Roman"/>
          <w:b/>
          <w:bCs/>
          <w:iCs/>
          <w:sz w:val="22"/>
          <w:szCs w:val="22"/>
          <w:u w:val="single"/>
          <w:lang w:val="lt-LT"/>
        </w:rPr>
      </w:pPr>
      <w:r w:rsidRPr="00B355D0">
        <w:rPr>
          <w:rFonts w:ascii="Times New Roman" w:eastAsia="MS Mincho" w:hAnsi="Times New Roman" w:cs="Times New Roman"/>
          <w:b/>
          <w:bCs/>
          <w:iCs/>
          <w:sz w:val="22"/>
          <w:szCs w:val="22"/>
          <w:u w:val="single"/>
          <w:lang w:val="lt-LT"/>
        </w:rPr>
        <w:t>Nedažn</w:t>
      </w:r>
      <w:r>
        <w:rPr>
          <w:rFonts w:ascii="Times New Roman" w:eastAsia="MS Mincho" w:hAnsi="Times New Roman" w:cs="Times New Roman"/>
          <w:b/>
          <w:bCs/>
          <w:iCs/>
          <w:sz w:val="22"/>
          <w:szCs w:val="22"/>
          <w:u w:val="single"/>
          <w:lang w:val="lt-LT"/>
        </w:rPr>
        <w:t>i</w:t>
      </w:r>
      <w:r w:rsidRPr="00B355D0">
        <w:rPr>
          <w:rFonts w:ascii="Times New Roman" w:eastAsia="MS Mincho" w:hAnsi="Times New Roman" w:cs="Times New Roman"/>
          <w:b/>
          <w:bCs/>
          <w:iCs/>
          <w:sz w:val="22"/>
          <w:szCs w:val="22"/>
          <w:u w:val="single"/>
          <w:lang w:val="lt-LT"/>
        </w:rPr>
        <w:t xml:space="preserve"> šalutini</w:t>
      </w:r>
      <w:r>
        <w:rPr>
          <w:rFonts w:ascii="Times New Roman" w:eastAsia="MS Mincho" w:hAnsi="Times New Roman" w:cs="Times New Roman"/>
          <w:b/>
          <w:bCs/>
          <w:iCs/>
          <w:sz w:val="22"/>
          <w:szCs w:val="22"/>
          <w:u w:val="single"/>
          <w:lang w:val="lt-LT"/>
        </w:rPr>
        <w:t>o</w:t>
      </w:r>
      <w:r w:rsidRPr="00B355D0">
        <w:rPr>
          <w:rFonts w:ascii="Times New Roman" w:eastAsia="MS Mincho" w:hAnsi="Times New Roman" w:cs="Times New Roman"/>
          <w:b/>
          <w:bCs/>
          <w:iCs/>
          <w:sz w:val="22"/>
          <w:szCs w:val="22"/>
          <w:u w:val="single"/>
          <w:lang w:val="lt-LT"/>
        </w:rPr>
        <w:t xml:space="preserve"> poveiki</w:t>
      </w:r>
      <w:r>
        <w:rPr>
          <w:rFonts w:ascii="Times New Roman" w:eastAsia="MS Mincho" w:hAnsi="Times New Roman" w:cs="Times New Roman"/>
          <w:b/>
          <w:bCs/>
          <w:iCs/>
          <w:sz w:val="22"/>
          <w:szCs w:val="22"/>
          <w:u w:val="single"/>
          <w:lang w:val="lt-LT"/>
        </w:rPr>
        <w:t>o reiškiniai</w:t>
      </w:r>
      <w:r w:rsidRPr="00B355D0">
        <w:rPr>
          <w:rFonts w:ascii="Times New Roman" w:eastAsia="MS Mincho" w:hAnsi="Times New Roman" w:cs="Times New Roman"/>
          <w:b/>
          <w:bCs/>
          <w:iCs/>
          <w:sz w:val="22"/>
          <w:szCs w:val="22"/>
          <w:u w:val="single"/>
          <w:lang w:val="lt-LT"/>
        </w:rPr>
        <w:t xml:space="preserve"> (gali pasireikšti</w:t>
      </w:r>
      <w:r>
        <w:rPr>
          <w:rFonts w:ascii="Times New Roman" w:eastAsia="MS Mincho" w:hAnsi="Times New Roman" w:cs="Times New Roman"/>
          <w:b/>
          <w:bCs/>
          <w:iCs/>
          <w:sz w:val="22"/>
          <w:szCs w:val="22"/>
          <w:u w:val="single"/>
          <w:lang w:val="lt-LT"/>
        </w:rPr>
        <w:t xml:space="preserve"> rečiau kaip</w:t>
      </w:r>
      <w:r w:rsidRPr="00B355D0">
        <w:rPr>
          <w:rFonts w:ascii="Times New Roman" w:eastAsia="MS Mincho" w:hAnsi="Times New Roman" w:cs="Times New Roman"/>
          <w:b/>
          <w:bCs/>
          <w:iCs/>
          <w:sz w:val="22"/>
          <w:szCs w:val="22"/>
          <w:u w:val="single"/>
          <w:lang w:val="lt-LT"/>
        </w:rPr>
        <w:t xml:space="preserve"> 1 iš 100</w:t>
      </w:r>
      <w:r>
        <w:rPr>
          <w:rFonts w:ascii="Times New Roman" w:eastAsia="MS Mincho" w:hAnsi="Times New Roman" w:cs="Times New Roman"/>
          <w:b/>
          <w:bCs/>
          <w:iCs/>
          <w:sz w:val="22"/>
          <w:szCs w:val="22"/>
          <w:u w:val="single"/>
          <w:lang w:val="lt-LT"/>
        </w:rPr>
        <w:t xml:space="preserve"> asmenų</w:t>
      </w:r>
      <w:r w:rsidRPr="00B355D0">
        <w:rPr>
          <w:rFonts w:ascii="Times New Roman" w:eastAsia="MS Mincho" w:hAnsi="Times New Roman" w:cs="Times New Roman"/>
          <w:b/>
          <w:bCs/>
          <w:iCs/>
          <w:sz w:val="22"/>
          <w:szCs w:val="22"/>
          <w:u w:val="single"/>
          <w:lang w:val="lt-LT"/>
        </w:rPr>
        <w:t>)</w:t>
      </w:r>
      <w:r>
        <w:rPr>
          <w:rFonts w:ascii="Times New Roman" w:eastAsia="MS Mincho" w:hAnsi="Times New Roman" w:cs="Times New Roman"/>
          <w:b/>
          <w:bCs/>
          <w:iCs/>
          <w:sz w:val="22"/>
          <w:szCs w:val="22"/>
          <w:u w:val="single"/>
          <w:lang w:val="lt-LT"/>
        </w:rPr>
        <w:t>:</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akims:</w:t>
      </w:r>
      <w:r w:rsidRPr="009C0798">
        <w:rPr>
          <w:rFonts w:ascii="Times New Roman" w:eastAsia="MS Mincho" w:hAnsi="Times New Roman" w:cs="Times New Roman"/>
          <w:i/>
          <w:iCs/>
          <w:sz w:val="22"/>
          <w:szCs w:val="22"/>
          <w:lang w:val="lt-LT"/>
        </w:rPr>
        <w:t xml:space="preserve"> </w:t>
      </w:r>
      <w:r w:rsidRPr="009C0798">
        <w:rPr>
          <w:rFonts w:ascii="Times New Roman" w:eastAsia="MS Mincho" w:hAnsi="Times New Roman" w:cs="Times New Roman"/>
          <w:sz w:val="22"/>
          <w:szCs w:val="22"/>
          <w:lang w:val="lt-LT"/>
        </w:rPr>
        <w:t>padidėjęs akies (-ių) akispūdis, akies skausmas, akies niežėjimas, nemalonus pojūtis akyje, akies sudirginimas.</w:t>
      </w:r>
    </w:p>
    <w:p w:rsidR="00085B4A" w:rsidRPr="009C0798" w:rsidRDefault="00085B4A" w:rsidP="00085B4A">
      <w:pPr>
        <w:widowControl w:val="0"/>
        <w:tabs>
          <w:tab w:val="left" w:pos="567"/>
        </w:tabs>
        <w:spacing w:after="0" w:line="240" w:lineRule="auto"/>
        <w:ind w:left="720"/>
        <w:rPr>
          <w:rFonts w:ascii="Times New Roman" w:eastAsia="MS Mincho" w:hAnsi="Times New Roman" w:cs="Times New Roman"/>
          <w:sz w:val="22"/>
          <w:szCs w:val="22"/>
          <w:lang w:val="lt-LT"/>
        </w:rPr>
      </w:pPr>
    </w:p>
    <w:p w:rsidR="00085B4A" w:rsidRPr="00B355D0" w:rsidRDefault="00085B4A" w:rsidP="00085B4A">
      <w:pPr>
        <w:widowControl w:val="0"/>
        <w:tabs>
          <w:tab w:val="left" w:pos="567"/>
        </w:tabs>
        <w:spacing w:after="0" w:line="240" w:lineRule="auto"/>
        <w:rPr>
          <w:rFonts w:ascii="Times New Roman" w:eastAsia="MS Mincho" w:hAnsi="Times New Roman" w:cs="Times New Roman"/>
          <w:b/>
          <w:bCs/>
          <w:iCs/>
          <w:sz w:val="22"/>
          <w:szCs w:val="22"/>
          <w:u w:val="single"/>
          <w:lang w:val="lt-LT"/>
        </w:rPr>
      </w:pPr>
      <w:r w:rsidRPr="00B355D0">
        <w:rPr>
          <w:rFonts w:ascii="Times New Roman" w:eastAsia="MS Mincho" w:hAnsi="Times New Roman" w:cs="Times New Roman"/>
          <w:b/>
          <w:bCs/>
          <w:iCs/>
          <w:sz w:val="22"/>
          <w:szCs w:val="22"/>
          <w:u w:val="single"/>
          <w:lang w:val="lt-LT"/>
        </w:rPr>
        <w:t>Ret</w:t>
      </w:r>
      <w:r>
        <w:rPr>
          <w:rFonts w:ascii="Times New Roman" w:eastAsia="MS Mincho" w:hAnsi="Times New Roman" w:cs="Times New Roman"/>
          <w:b/>
          <w:bCs/>
          <w:iCs/>
          <w:sz w:val="22"/>
          <w:szCs w:val="22"/>
          <w:u w:val="single"/>
          <w:lang w:val="lt-LT"/>
        </w:rPr>
        <w:t>i</w:t>
      </w:r>
      <w:r w:rsidRPr="00B355D0">
        <w:rPr>
          <w:rFonts w:ascii="Times New Roman" w:eastAsia="MS Mincho" w:hAnsi="Times New Roman" w:cs="Times New Roman"/>
          <w:b/>
          <w:bCs/>
          <w:iCs/>
          <w:sz w:val="22"/>
          <w:szCs w:val="22"/>
          <w:u w:val="single"/>
          <w:lang w:val="lt-LT"/>
        </w:rPr>
        <w:t xml:space="preserve"> šalutini</w:t>
      </w:r>
      <w:r>
        <w:rPr>
          <w:rFonts w:ascii="Times New Roman" w:eastAsia="MS Mincho" w:hAnsi="Times New Roman" w:cs="Times New Roman"/>
          <w:b/>
          <w:bCs/>
          <w:iCs/>
          <w:sz w:val="22"/>
          <w:szCs w:val="22"/>
          <w:u w:val="single"/>
          <w:lang w:val="lt-LT"/>
        </w:rPr>
        <w:t>o</w:t>
      </w:r>
      <w:r w:rsidRPr="00B355D0">
        <w:rPr>
          <w:rFonts w:ascii="Times New Roman" w:eastAsia="MS Mincho" w:hAnsi="Times New Roman" w:cs="Times New Roman"/>
          <w:b/>
          <w:bCs/>
          <w:iCs/>
          <w:sz w:val="22"/>
          <w:szCs w:val="22"/>
          <w:u w:val="single"/>
          <w:lang w:val="lt-LT"/>
        </w:rPr>
        <w:t xml:space="preserve"> poveiki</w:t>
      </w:r>
      <w:r>
        <w:rPr>
          <w:rFonts w:ascii="Times New Roman" w:eastAsia="MS Mincho" w:hAnsi="Times New Roman" w:cs="Times New Roman"/>
          <w:b/>
          <w:bCs/>
          <w:iCs/>
          <w:sz w:val="22"/>
          <w:szCs w:val="22"/>
          <w:u w:val="single"/>
          <w:lang w:val="lt-LT"/>
        </w:rPr>
        <w:t>o reiškiniai</w:t>
      </w:r>
      <w:r w:rsidRPr="00B355D0">
        <w:rPr>
          <w:rFonts w:ascii="Times New Roman" w:eastAsia="MS Mincho" w:hAnsi="Times New Roman" w:cs="Times New Roman"/>
          <w:b/>
          <w:bCs/>
          <w:iCs/>
          <w:sz w:val="22"/>
          <w:szCs w:val="22"/>
          <w:u w:val="single"/>
          <w:lang w:val="lt-LT"/>
        </w:rPr>
        <w:t xml:space="preserve"> (gali pasireikšti </w:t>
      </w:r>
      <w:r>
        <w:rPr>
          <w:rFonts w:ascii="Times New Roman" w:eastAsia="MS Mincho" w:hAnsi="Times New Roman" w:cs="Times New Roman"/>
          <w:b/>
          <w:bCs/>
          <w:iCs/>
          <w:sz w:val="22"/>
          <w:szCs w:val="22"/>
          <w:u w:val="single"/>
          <w:lang w:val="lt-LT"/>
        </w:rPr>
        <w:t xml:space="preserve">rečiau kaip </w:t>
      </w:r>
      <w:r w:rsidRPr="00B355D0">
        <w:rPr>
          <w:rFonts w:ascii="Times New Roman" w:eastAsia="MS Mincho" w:hAnsi="Times New Roman" w:cs="Times New Roman"/>
          <w:b/>
          <w:bCs/>
          <w:iCs/>
          <w:sz w:val="22"/>
          <w:szCs w:val="22"/>
          <w:u w:val="single"/>
          <w:lang w:val="lt-LT"/>
        </w:rPr>
        <w:t>1</w:t>
      </w:r>
      <w:r>
        <w:rPr>
          <w:rFonts w:ascii="Times New Roman" w:eastAsia="MS Mincho" w:hAnsi="Times New Roman" w:cs="Times New Roman"/>
          <w:b/>
          <w:bCs/>
          <w:iCs/>
          <w:sz w:val="22"/>
          <w:szCs w:val="22"/>
          <w:u w:val="single"/>
          <w:lang w:val="lt-LT"/>
        </w:rPr>
        <w:t xml:space="preserve"> iš </w:t>
      </w:r>
      <w:r w:rsidRPr="00B355D0">
        <w:rPr>
          <w:rFonts w:ascii="Times New Roman" w:eastAsia="MS Mincho" w:hAnsi="Times New Roman" w:cs="Times New Roman"/>
          <w:b/>
          <w:bCs/>
          <w:iCs/>
          <w:sz w:val="22"/>
          <w:szCs w:val="22"/>
          <w:u w:val="single"/>
          <w:lang w:val="lt-LT"/>
        </w:rPr>
        <w:t>1 000)</w:t>
      </w:r>
      <w:r>
        <w:rPr>
          <w:rFonts w:ascii="Times New Roman" w:eastAsia="MS Mincho" w:hAnsi="Times New Roman" w:cs="Times New Roman"/>
          <w:b/>
          <w:bCs/>
          <w:iCs/>
          <w:sz w:val="22"/>
          <w:szCs w:val="22"/>
          <w:u w:val="single"/>
          <w:lang w:val="lt-LT"/>
        </w:rPr>
        <w:t>:</w:t>
      </w:r>
    </w:p>
    <w:p w:rsidR="00085B4A"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akims</w:t>
      </w:r>
      <w:r w:rsidRPr="009C0798">
        <w:rPr>
          <w:rFonts w:ascii="Times New Roman" w:eastAsia="MS Mincho" w:hAnsi="Times New Roman" w:cs="Times New Roman"/>
          <w:sz w:val="22"/>
          <w:szCs w:val="22"/>
          <w:lang w:val="lt-LT"/>
        </w:rPr>
        <w:t xml:space="preserve">: akies alergija, </w:t>
      </w:r>
      <w:r w:rsidRPr="00552857">
        <w:rPr>
          <w:rFonts w:ascii="Times New Roman" w:eastAsia="MS Mincho" w:hAnsi="Times New Roman" w:cs="Times New Roman"/>
          <w:sz w:val="22"/>
          <w:szCs w:val="22"/>
          <w:lang w:val="lt-LT"/>
        </w:rPr>
        <w:t>neryškus mat</w:t>
      </w:r>
      <w:r w:rsidRPr="009C0798">
        <w:rPr>
          <w:rFonts w:ascii="Times New Roman" w:eastAsia="MS Mincho" w:hAnsi="Times New Roman" w:cs="Times New Roman"/>
          <w:sz w:val="22"/>
          <w:szCs w:val="22"/>
          <w:lang w:val="lt-LT"/>
        </w:rPr>
        <w:t>omas vaizdas, akies sausumas, ragenos uždegimas, akies paraudimas.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virškinimo traktui</w:t>
      </w:r>
      <w:r w:rsidRPr="009C0798">
        <w:rPr>
          <w:rFonts w:ascii="Times New Roman" w:eastAsia="MS Mincho" w:hAnsi="Times New Roman" w:cs="Times New Roman"/>
          <w:sz w:val="22"/>
          <w:szCs w:val="22"/>
          <w:lang w:val="lt-LT"/>
        </w:rPr>
        <w:t>: skonio pojūčio sutrikimas.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sz w:val="22"/>
          <w:szCs w:val="22"/>
          <w:u w:val="single"/>
          <w:lang w:val="lt-LT"/>
        </w:rPr>
      </w:pPr>
      <w:r w:rsidRPr="009C0798">
        <w:rPr>
          <w:rFonts w:ascii="Times New Roman" w:eastAsia="MS Mincho" w:hAnsi="Times New Roman" w:cs="Times New Roman"/>
          <w:sz w:val="22"/>
          <w:szCs w:val="22"/>
          <w:u w:val="single"/>
          <w:lang w:val="lt-LT"/>
        </w:rPr>
        <w:t xml:space="preserve">Papildomas šalutinis poveikis, apie kurį duomenų gauta po vaisto pateikimo į rinką. </w:t>
      </w: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sz w:val="22"/>
          <w:szCs w:val="22"/>
          <w:u w:val="single"/>
          <w:lang w:val="lt-LT"/>
        </w:rPr>
      </w:pP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i/>
          <w:sz w:val="22"/>
          <w:szCs w:val="22"/>
          <w:u w:val="single"/>
          <w:lang w:val="lt-LT"/>
        </w:rPr>
      </w:pPr>
      <w:r w:rsidRPr="00B355D0">
        <w:rPr>
          <w:rFonts w:ascii="Times New Roman" w:eastAsia="MS Mincho" w:hAnsi="Times New Roman" w:cs="Times New Roman"/>
          <w:b/>
          <w:bCs/>
          <w:iCs/>
          <w:sz w:val="22"/>
          <w:szCs w:val="22"/>
          <w:u w:val="single"/>
          <w:lang w:val="lt-LT"/>
        </w:rPr>
        <w:t>Dažnis nežinomas (negali būti apskaičiuotas pagal turimus duomenis):</w:t>
      </w:r>
      <w:r w:rsidRPr="00B355D0">
        <w:rPr>
          <w:rFonts w:ascii="Times New Roman" w:eastAsia="MS Mincho" w:hAnsi="Times New Roman" w:cs="Times New Roman"/>
          <w:iCs/>
          <w:sz w:val="22"/>
          <w:szCs w:val="22"/>
          <w:u w:val="single"/>
          <w:lang w:val="lt-LT"/>
        </w:rPr>
        <w:t xml:space="preserve"> </w:t>
      </w:r>
    </w:p>
    <w:p w:rsidR="00085B4A" w:rsidRDefault="00085B4A" w:rsidP="00085B4A">
      <w:pPr>
        <w:keepNext/>
        <w:keepLines/>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Poveikis akims</w:t>
      </w:r>
      <w:r w:rsidRPr="009C0798">
        <w:rPr>
          <w:rFonts w:ascii="Times New Roman" w:eastAsia="MS Mincho" w:hAnsi="Times New Roman" w:cs="Times New Roman"/>
          <w:sz w:val="22"/>
          <w:szCs w:val="22"/>
          <w:lang w:val="lt-LT"/>
        </w:rPr>
        <w:t xml:space="preserve">: akies voko edema, akies voko eritema, vyzdžio padidėjimas, padidėjęs ašarojimas, </w:t>
      </w:r>
      <w:r w:rsidRPr="00552857">
        <w:rPr>
          <w:rFonts w:ascii="Times New Roman" w:eastAsia="MS Mincho" w:hAnsi="Times New Roman" w:cs="Times New Roman"/>
          <w:sz w:val="22"/>
          <w:szCs w:val="22"/>
          <w:lang w:val="lt-LT"/>
        </w:rPr>
        <w:t>miglotas matymas</w:t>
      </w:r>
      <w:r w:rsidRPr="009C0798">
        <w:rPr>
          <w:rFonts w:ascii="Times New Roman" w:eastAsia="MS Mincho" w:hAnsi="Times New Roman" w:cs="Times New Roman"/>
          <w:sz w:val="22"/>
          <w:szCs w:val="22"/>
          <w:lang w:val="lt-LT"/>
        </w:rPr>
        <w:t>.</w:t>
      </w: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sz w:val="22"/>
          <w:szCs w:val="22"/>
          <w:lang w:val="lt-LT"/>
        </w:rPr>
      </w:pPr>
    </w:p>
    <w:p w:rsidR="00085B4A" w:rsidRDefault="00085B4A" w:rsidP="00085B4A">
      <w:pPr>
        <w:keepNext/>
        <w:keepLines/>
        <w:widowControl w:val="0"/>
        <w:tabs>
          <w:tab w:val="left" w:pos="567"/>
        </w:tabs>
        <w:spacing w:after="0" w:line="260" w:lineRule="exact"/>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Hormoniniai sutrikimai: papildomų kūno plaukų augimas (ypač moterims), raumenų silpnumas ir nykimas, violetinės tempimo žymės kūno odoje, padidėjęs kraujospūdis, nereguliarios menstruacijos arba jų išnykimas, baltymo ir kalcio kiekio organizme pokytis, sulėtėjęs vaikų bei paauglių augimas ir kūno svorio padidėjimas bei viso kūno ir veido patinimas (vadinamasis Kušingo sindromas) (žr. 2 skyrių „Įspėjimai ir atsargumo priemonės“).</w:t>
      </w:r>
    </w:p>
    <w:p w:rsidR="00085B4A" w:rsidRPr="009C0798" w:rsidRDefault="00085B4A" w:rsidP="00085B4A">
      <w:pPr>
        <w:keepNext/>
        <w:keepLines/>
        <w:widowControl w:val="0"/>
        <w:tabs>
          <w:tab w:val="left" w:pos="567"/>
        </w:tabs>
        <w:spacing w:after="0" w:line="260" w:lineRule="exact"/>
        <w:rPr>
          <w:rFonts w:ascii="Times New Roman" w:eastAsia="MS Mincho" w:hAnsi="Times New Roman" w:cs="Times New Roman"/>
          <w:sz w:val="22"/>
          <w:szCs w:val="22"/>
          <w:lang w:val="lt-LT"/>
        </w:rPr>
      </w:pPr>
    </w:p>
    <w:p w:rsidR="00085B4A" w:rsidRPr="009C0798" w:rsidRDefault="00085B4A" w:rsidP="00085B4A">
      <w:pPr>
        <w:keepNext/>
        <w:keepLines/>
        <w:widowControl w:val="0"/>
        <w:tabs>
          <w:tab w:val="left" w:pos="567"/>
        </w:tabs>
        <w:spacing w:after="0" w:line="260" w:lineRule="exact"/>
        <w:rPr>
          <w:rFonts w:ascii="Times New Roman" w:eastAsia="MS Mincho" w:hAnsi="Times New Roman" w:cs="Times New Roman"/>
          <w:sz w:val="22"/>
          <w:szCs w:val="22"/>
          <w:lang w:val="lt-LT"/>
        </w:rPr>
      </w:pPr>
      <w:r w:rsidRPr="009C0798">
        <w:rPr>
          <w:rFonts w:ascii="Times New Roman" w:eastAsia="MS Mincho" w:hAnsi="Times New Roman" w:cs="Times New Roman"/>
          <w:iCs/>
          <w:sz w:val="22"/>
          <w:szCs w:val="22"/>
          <w:lang w:val="lt-LT"/>
        </w:rPr>
        <w:t>Bendrasis šalutinis poveikis</w:t>
      </w:r>
      <w:r w:rsidRPr="009C0798">
        <w:rPr>
          <w:rFonts w:ascii="Times New Roman" w:eastAsia="MS Mincho" w:hAnsi="Times New Roman" w:cs="Times New Roman"/>
          <w:sz w:val="22"/>
          <w:szCs w:val="22"/>
          <w:lang w:val="lt-LT"/>
        </w:rPr>
        <w:t>: sunki alerginė reakcija (padidėjęs jautrumas), svaigulys, galvos skausmas, pykinimas, nemalonus pojūtis pilve,</w:t>
      </w:r>
      <w:r w:rsidRPr="009C0798" w:rsidDel="00D71F36">
        <w:rPr>
          <w:rFonts w:ascii="Times New Roman" w:eastAsia="MS Mincho" w:hAnsi="Times New Roman" w:cs="Times New Roman"/>
          <w:sz w:val="22"/>
          <w:szCs w:val="22"/>
          <w:lang w:val="lt-LT"/>
        </w:rPr>
        <w:t xml:space="preserve"> </w:t>
      </w:r>
      <w:r w:rsidRPr="009C0798">
        <w:rPr>
          <w:rFonts w:ascii="Times New Roman" w:eastAsia="MS Mincho" w:hAnsi="Times New Roman" w:cs="Times New Roman"/>
          <w:sz w:val="22"/>
          <w:szCs w:val="22"/>
          <w:lang w:val="lt-LT"/>
        </w:rPr>
        <w:t>daugiaformė eritema, išbėrimas, veido patinimas, niežulys.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ind w:right="-1"/>
        <w:rPr>
          <w:rFonts w:ascii="Times New Roman" w:eastAsia="Times New Roman" w:hAnsi="Times New Roman" w:cs="Times New Roman"/>
          <w:b/>
          <w:snapToGrid w:val="0"/>
          <w:sz w:val="22"/>
          <w:szCs w:val="22"/>
          <w:lang w:val="lt-LT"/>
        </w:rPr>
      </w:pPr>
      <w:r w:rsidRPr="009C0798">
        <w:rPr>
          <w:rFonts w:ascii="Times New Roman" w:eastAsia="Times New Roman" w:hAnsi="Times New Roman" w:cs="Times New Roman"/>
          <w:b/>
          <w:snapToGrid w:val="0"/>
          <w:sz w:val="22"/>
          <w:szCs w:val="22"/>
          <w:lang w:val="lt-LT"/>
        </w:rPr>
        <w:t>Pranešimas apie šalutinį poveikį</w:t>
      </w:r>
    </w:p>
    <w:p w:rsidR="00085B4A" w:rsidRPr="00B355D0" w:rsidRDefault="00085B4A" w:rsidP="00085B4A">
      <w:pPr>
        <w:widowControl w:val="0"/>
        <w:tabs>
          <w:tab w:val="left" w:pos="567"/>
        </w:tabs>
        <w:spacing w:after="0" w:line="260" w:lineRule="exact"/>
        <w:ind w:right="-1"/>
        <w:rPr>
          <w:rFonts w:ascii="Times New Roman" w:eastAsia="Times New Roman" w:hAnsi="Times New Roman" w:cs="Times New Roman"/>
          <w:noProof/>
          <w:snapToGrid w:val="0"/>
          <w:sz w:val="22"/>
          <w:szCs w:val="22"/>
          <w:lang w:val="lt-LT"/>
        </w:rPr>
      </w:pPr>
      <w:r w:rsidRPr="009C0798">
        <w:rPr>
          <w:rFonts w:ascii="Times New Roman" w:eastAsia="Times New Roman" w:hAnsi="Times New Roman" w:cs="Times New Roman"/>
          <w:snapToGrid w:val="0"/>
          <w:sz w:val="22"/>
          <w:szCs w:val="22"/>
          <w:lang w:val="lt-LT"/>
        </w:rPr>
        <w:t xml:space="preserve">Jeigu pasireiškė šalutinis poveikis, įskaitant šiame lapelyje nenurodytą, pasakykite gydytojui arba vaistininkui. </w:t>
      </w:r>
      <w:r w:rsidRPr="001223BA">
        <w:rPr>
          <w:rFonts w:ascii="Times New Roman" w:eastAsia="Times New Roman" w:hAnsi="Times New Roman" w:cs="Times New Roman"/>
          <w:noProof/>
          <w:snapToGrid w:val="0"/>
          <w:sz w:val="22"/>
          <w:szCs w:val="22"/>
          <w:lang w:val="lt-LT"/>
        </w:rPr>
        <w:t>Pranešimą apie</w:t>
      </w:r>
      <w:r w:rsidRPr="00B355D0">
        <w:rPr>
          <w:rFonts w:ascii="Times New Roman" w:eastAsia="Times New Roman" w:hAnsi="Times New Roman" w:cs="Times New Roman"/>
          <w:noProof/>
          <w:snapToGrid w:val="0"/>
          <w:sz w:val="22"/>
          <w:szCs w:val="22"/>
          <w:lang w:val="lt-LT"/>
        </w:rPr>
        <w:t xml:space="preserve"> šalutinį poveikį galite </w:t>
      </w:r>
      <w:r>
        <w:rPr>
          <w:rFonts w:ascii="Times New Roman" w:eastAsia="Times New Roman" w:hAnsi="Times New Roman" w:cs="Times New Roman"/>
          <w:noProof/>
          <w:snapToGrid w:val="0"/>
          <w:sz w:val="22"/>
          <w:szCs w:val="22"/>
          <w:lang w:val="lt-LT"/>
        </w:rPr>
        <w:t xml:space="preserve">užpildyti ir </w:t>
      </w:r>
      <w:r w:rsidRPr="00B355D0">
        <w:rPr>
          <w:rFonts w:ascii="Times New Roman" w:eastAsia="Times New Roman" w:hAnsi="Times New Roman" w:cs="Times New Roman"/>
          <w:noProof/>
          <w:snapToGrid w:val="0"/>
          <w:sz w:val="22"/>
          <w:szCs w:val="22"/>
          <w:lang w:val="lt-LT"/>
        </w:rPr>
        <w:t xml:space="preserve">pateikti Valstybinės vaistų kontrolės tarnybos prie Lietuvos Respublikos sveikatos apsaugos ministerijos </w:t>
      </w:r>
      <w:r w:rsidRPr="00A64E46">
        <w:rPr>
          <w:rFonts w:ascii="Times New Roman" w:eastAsia="Times New Roman" w:hAnsi="Times New Roman" w:cs="Times New Roman"/>
          <w:noProof/>
          <w:snapToGrid w:val="0"/>
          <w:sz w:val="22"/>
          <w:szCs w:val="22"/>
          <w:lang w:val="lt-LT"/>
        </w:rPr>
        <w:t xml:space="preserve">tinklalapyje </w:t>
      </w:r>
      <w:hyperlink r:id="rId10" w:history="1">
        <w:r w:rsidRPr="008E7327">
          <w:rPr>
            <w:rStyle w:val="Hipersaitas"/>
            <w:rFonts w:ascii="Times New Roman" w:eastAsia="Times New Roman" w:hAnsi="Times New Roman" w:cs="Times New Roman"/>
            <w:noProof/>
            <w:snapToGrid w:val="0"/>
            <w:sz w:val="22"/>
            <w:szCs w:val="22"/>
            <w:lang w:val="lt-LT"/>
          </w:rPr>
          <w:t>https://vvkt.lrv.lt/lt/</w:t>
        </w:r>
      </w:hyperlink>
      <w:r>
        <w:rPr>
          <w:rFonts w:ascii="Times New Roman" w:eastAsia="Times New Roman" w:hAnsi="Times New Roman" w:cs="Times New Roman"/>
          <w:noProof/>
          <w:snapToGrid w:val="0"/>
          <w:sz w:val="22"/>
          <w:szCs w:val="22"/>
          <w:lang w:val="lt-LT"/>
        </w:rPr>
        <w:t xml:space="preserve"> </w:t>
      </w:r>
      <w:r w:rsidRPr="00A64E46">
        <w:rPr>
          <w:rFonts w:ascii="Times New Roman" w:eastAsia="Times New Roman" w:hAnsi="Times New Roman" w:cs="Times New Roman"/>
          <w:noProof/>
          <w:snapToGrid w:val="0"/>
          <w:sz w:val="22"/>
          <w:szCs w:val="22"/>
          <w:lang w:val="lt-LT"/>
        </w:rPr>
        <w:t>nurodytais būdais arba paskambinti</w:t>
      </w:r>
      <w:r>
        <w:rPr>
          <w:rFonts w:ascii="Times New Roman" w:eastAsia="Times New Roman" w:hAnsi="Times New Roman" w:cs="Times New Roman"/>
          <w:noProof/>
          <w:snapToGrid w:val="0"/>
          <w:sz w:val="22"/>
          <w:szCs w:val="22"/>
          <w:lang w:val="lt-LT"/>
        </w:rPr>
        <w:t xml:space="preserve"> </w:t>
      </w:r>
      <w:r w:rsidRPr="001223BA">
        <w:rPr>
          <w:rFonts w:ascii="Times New Roman" w:eastAsia="Times New Roman" w:hAnsi="Times New Roman" w:cs="Times New Roman"/>
          <w:noProof/>
          <w:snapToGrid w:val="0"/>
          <w:sz w:val="22"/>
          <w:szCs w:val="22"/>
          <w:lang w:val="lt-LT"/>
        </w:rPr>
        <w:t xml:space="preserve"> nemokamu telefonu 8 800 73 568.</w:t>
      </w:r>
      <w:r w:rsidRPr="00B355D0">
        <w:rPr>
          <w:rFonts w:ascii="Times New Roman" w:eastAsia="Times New Roman" w:hAnsi="Times New Roman" w:cs="Times New Roman"/>
          <w:noProof/>
          <w:snapToGrid w:val="0"/>
          <w:sz w:val="22"/>
          <w:szCs w:val="22"/>
          <w:lang w:val="lt-LT"/>
        </w:rPr>
        <w:t xml:space="preserve"> Pranešdami apie šalutinį poveikį galite mums padėti gauti daugiau informacijos apie šio vaisto saugumą.</w:t>
      </w:r>
    </w:p>
    <w:p w:rsidR="00085B4A" w:rsidRPr="009C0798" w:rsidRDefault="00085B4A" w:rsidP="00085B4A">
      <w:pPr>
        <w:widowControl w:val="0"/>
        <w:tabs>
          <w:tab w:val="left" w:pos="567"/>
        </w:tabs>
        <w:spacing w:after="0" w:line="260" w:lineRule="exact"/>
        <w:ind w:right="-1"/>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numPr>
          <w:ilvl w:val="0"/>
          <w:numId w:val="5"/>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Kaip laikyti Tobradex</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numPr>
          <w:ilvl w:val="12"/>
          <w:numId w:val="0"/>
        </w:numPr>
        <w:tabs>
          <w:tab w:val="left" w:pos="567"/>
        </w:tabs>
        <w:spacing w:after="0" w:line="240" w:lineRule="auto"/>
        <w:ind w:right="-2"/>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snapToGrid w:val="0"/>
          <w:sz w:val="22"/>
          <w:szCs w:val="22"/>
          <w:lang w:val="lt-LT"/>
        </w:rPr>
        <w:t>Šį vaistą laikykite vaikams nepastebimoje ir nepasiekiamoje vietoje.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Laikyti ne aukštesnėje kaip 25 °C temperatūroje.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Negalima užšaldyti.</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stačią.</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Talpyklę laikyti sandarią.</w:t>
      </w:r>
    </w:p>
    <w:p w:rsidR="00085B4A" w:rsidRPr="009C0798" w:rsidRDefault="00085B4A" w:rsidP="00085B4A">
      <w:pPr>
        <w:widowControl w:val="0"/>
        <w:suppressLineNumbers/>
        <w:tabs>
          <w:tab w:val="left" w:pos="-720"/>
          <w:tab w:val="left" w:pos="567"/>
        </w:tabs>
        <w:suppressAutoHyphens/>
        <w:spacing w:after="0" w:line="240" w:lineRule="auto"/>
        <w:jc w:val="both"/>
        <w:rPr>
          <w:rFonts w:ascii="Times New Roman" w:eastAsia="MS Mincho" w:hAnsi="Times New Roman" w:cs="Times New Roman"/>
          <w:spacing w:val="-3"/>
          <w:sz w:val="22"/>
          <w:szCs w:val="22"/>
          <w:lang w:val="lt-LT"/>
        </w:rPr>
      </w:pPr>
    </w:p>
    <w:p w:rsidR="00085B4A" w:rsidRPr="009C0798" w:rsidRDefault="00085B4A" w:rsidP="00085B4A">
      <w:pPr>
        <w:widowControl w:val="0"/>
        <w:suppressLineNumbers/>
        <w:tabs>
          <w:tab w:val="left" w:pos="-720"/>
          <w:tab w:val="left" w:pos="567"/>
        </w:tabs>
        <w:suppressAutoHyphens/>
        <w:spacing w:after="0" w:line="240" w:lineRule="auto"/>
        <w:rPr>
          <w:rFonts w:ascii="Times New Roman" w:eastAsia="MS Mincho" w:hAnsi="Times New Roman" w:cs="Times New Roman"/>
          <w:spacing w:val="-3"/>
          <w:sz w:val="22"/>
          <w:szCs w:val="22"/>
          <w:lang w:val="lt-LT"/>
        </w:rPr>
      </w:pPr>
      <w:r w:rsidRPr="009C0798">
        <w:rPr>
          <w:rFonts w:ascii="Times New Roman" w:eastAsia="MS Mincho" w:hAnsi="Times New Roman" w:cs="Times New Roman"/>
          <w:spacing w:val="-3"/>
          <w:sz w:val="22"/>
          <w:szCs w:val="22"/>
          <w:lang w:val="lt-LT"/>
        </w:rPr>
        <w:t xml:space="preserve">Pirmą kartą atidarius talpyklę, suspensijos tinkamumo laikas - </w:t>
      </w:r>
      <w:r>
        <w:rPr>
          <w:rFonts w:ascii="Times New Roman" w:eastAsia="MS Mincho" w:hAnsi="Times New Roman" w:cs="Times New Roman"/>
          <w:spacing w:val="-3"/>
          <w:sz w:val="22"/>
          <w:szCs w:val="22"/>
          <w:lang w:val="lt-LT"/>
        </w:rPr>
        <w:t>4</w:t>
      </w:r>
      <w:r w:rsidRPr="009C0798">
        <w:rPr>
          <w:rFonts w:ascii="Times New Roman" w:eastAsia="MS Mincho" w:hAnsi="Times New Roman" w:cs="Times New Roman"/>
          <w:spacing w:val="-3"/>
          <w:sz w:val="22"/>
          <w:szCs w:val="22"/>
          <w:lang w:val="lt-LT"/>
        </w:rPr>
        <w:t> s</w:t>
      </w:r>
      <w:r>
        <w:rPr>
          <w:rFonts w:ascii="Times New Roman" w:eastAsia="MS Mincho" w:hAnsi="Times New Roman" w:cs="Times New Roman"/>
          <w:spacing w:val="-3"/>
          <w:sz w:val="22"/>
          <w:szCs w:val="22"/>
          <w:lang w:val="lt-LT"/>
        </w:rPr>
        <w:t>avaitės</w:t>
      </w:r>
      <w:r w:rsidRPr="009C0798">
        <w:rPr>
          <w:rFonts w:ascii="Times New Roman" w:eastAsia="MS Mincho" w:hAnsi="Times New Roman" w:cs="Times New Roman"/>
          <w:spacing w:val="-3"/>
          <w:sz w:val="22"/>
          <w:szCs w:val="22"/>
          <w:lang w:val="lt-LT"/>
        </w:rPr>
        <w:t xml:space="preserve">. </w:t>
      </w:r>
      <w:r w:rsidRPr="009C0798">
        <w:rPr>
          <w:rFonts w:ascii="Times New Roman" w:eastAsia="MS Mincho" w:hAnsi="Times New Roman" w:cs="Times New Roman"/>
          <w:sz w:val="22"/>
          <w:szCs w:val="22"/>
          <w:lang w:val="lt-LT"/>
        </w:rPr>
        <w:t>Praėjus keturioms savaitėms po atsukimo, šiuos vaistus reikia išmesti, nes jie gali būti užsiteršę.</w:t>
      </w:r>
      <w:r w:rsidRPr="009C0798">
        <w:rPr>
          <w:rFonts w:ascii="Times New Roman" w:eastAsia="MS Mincho" w:hAnsi="Times New Roman" w:cs="Times New Roman"/>
          <w:b/>
          <w:sz w:val="22"/>
          <w:szCs w:val="22"/>
          <w:lang w:val="lt-LT"/>
        </w:rPr>
        <w:t xml:space="preserve"> </w:t>
      </w:r>
      <w:r w:rsidRPr="009C0798">
        <w:rPr>
          <w:rFonts w:ascii="Times New Roman" w:eastAsia="MS Mincho" w:hAnsi="Times New Roman" w:cs="Times New Roman"/>
          <w:sz w:val="22"/>
          <w:szCs w:val="22"/>
          <w:lang w:val="lt-LT"/>
        </w:rPr>
        <w:t>Užsirašykite datą, kada atsukote talpyklę, toliau nurodytoje vietoje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Atsukta:</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 xml:space="preserve">Ant dėžutės ir talpyklės po „EXP“ nurodytam tinkamumo laikui pasibaigus, šio vaisto vartoti negalima. Vaistas tinkamas vartoti iki paskutinės nurodyto mėnesio dienos. </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Times New Roman" w:hAnsi="Times New Roman" w:cs="Times New Roman"/>
          <w:sz w:val="22"/>
          <w:szCs w:val="22"/>
          <w:lang w:val="lt-LT"/>
        </w:rPr>
      </w:pPr>
      <w:r w:rsidRPr="009C0798">
        <w:rPr>
          <w:rFonts w:ascii="Times New Roman" w:eastAsia="Times New Roman" w:hAnsi="Times New Roman" w:cs="Times New Roman"/>
          <w:sz w:val="22"/>
          <w:szCs w:val="22"/>
          <w:lang w:val="lt-LT"/>
        </w:rPr>
        <w:t>Vaistų negalima išmesti į kanalizaciją arba su buitinėmis atliekomis. Kaip išmesti nereikalingus vaistus, klauskite vaistininko. Šios priemonės padės apsaugoti aplinką.</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keepNext/>
        <w:keepLines/>
        <w:widowControl w:val="0"/>
        <w:numPr>
          <w:ilvl w:val="0"/>
          <w:numId w:val="5"/>
        </w:numPr>
        <w:tabs>
          <w:tab w:val="clear" w:pos="360"/>
        </w:tabs>
        <w:spacing w:after="0" w:line="240" w:lineRule="auto"/>
        <w:ind w:left="540" w:hanging="54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Pakuotės turinys ir kita informacija</w:t>
      </w: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sudėtis</w:t>
      </w:r>
    </w:p>
    <w:p w:rsidR="00085B4A" w:rsidRPr="009C0798" w:rsidRDefault="00085B4A" w:rsidP="00085B4A">
      <w:pPr>
        <w:keepNext/>
        <w:keepLines/>
        <w:widowControl w:val="0"/>
        <w:tabs>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ab/>
        <w:t>Veikliosios medžiagos yra tobramicinas ir deksametazonas. 1 ml suspensijos yra 3 mg tobramicino ir 1 mg deksametazono.</w:t>
      </w:r>
    </w:p>
    <w:p w:rsidR="00085B4A" w:rsidRPr="009C0798" w:rsidRDefault="00085B4A" w:rsidP="00085B4A">
      <w:pPr>
        <w:keepNext/>
        <w:keepLines/>
        <w:widowControl w:val="0"/>
        <w:tabs>
          <w:tab w:val="left" w:pos="567"/>
        </w:tabs>
        <w:spacing w:after="0" w:line="240" w:lineRule="auto"/>
        <w:ind w:left="567" w:hanging="567"/>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w:t>
      </w:r>
      <w:r w:rsidRPr="009C0798">
        <w:rPr>
          <w:rFonts w:ascii="Times New Roman" w:eastAsia="MS Mincho" w:hAnsi="Times New Roman" w:cs="Times New Roman"/>
          <w:sz w:val="22"/>
          <w:szCs w:val="22"/>
          <w:lang w:val="lt-LT"/>
        </w:rPr>
        <w:tab/>
        <w:t>Pagalbinės medžiagos yra benzalkonio chloridas, dinatrio edetatas, natrio chloridas, bevandenis natrio sulfatas (E514), tiloksapolis, hidroksietilceliuliozė ir išgrynintas vanduo. Be to, yra labai mažai sulfato rūgšties ir (arba) natrio hidroksido (reguliuoti pH).</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Tobradex išvaizda ir kiekis pakuotėje</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Tobradex yra balta arba balkšva suspensija.</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MS Mincho" w:hAnsi="Times New Roman" w:cs="Times New Roman"/>
          <w:sz w:val="22"/>
          <w:szCs w:val="22"/>
          <w:lang w:val="lt-LT"/>
        </w:rPr>
        <w:t>Vaistas tiekiamas plastikinėje talpyklėje su lašintuvu, kurioje yra 5 ml suspensijos.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Times New Roman" w:hAnsi="Times New Roman" w:cs="Times New Roman"/>
          <w:b/>
          <w:sz w:val="22"/>
          <w:lang w:val="lt-LT" w:eastAsia="lt-LT"/>
        </w:rPr>
        <w:t>Registruotojas</w:t>
      </w:r>
    </w:p>
    <w:p w:rsidR="00085B4A" w:rsidRPr="009C0798" w:rsidRDefault="00085B4A" w:rsidP="00085B4A">
      <w:pPr>
        <w:spacing w:after="0" w:line="240" w:lineRule="auto"/>
        <w:jc w:val="both"/>
        <w:rPr>
          <w:rFonts w:ascii="Times New Roman" w:eastAsia="Times New Roman" w:hAnsi="Times New Roman" w:cs="Times New Roman"/>
          <w:sz w:val="22"/>
          <w:szCs w:val="22"/>
          <w:lang w:val="lt-LT" w:eastAsia="et-EE"/>
        </w:rPr>
      </w:pPr>
      <w:r w:rsidRPr="009C0798">
        <w:rPr>
          <w:rFonts w:ascii="Times New Roman" w:eastAsia="Times New Roman" w:hAnsi="Times New Roman" w:cs="Times New Roman"/>
          <w:sz w:val="22"/>
          <w:szCs w:val="22"/>
          <w:lang w:val="lt-LT" w:eastAsia="et-EE"/>
        </w:rPr>
        <w:t xml:space="preserve">SIA </w:t>
      </w:r>
      <w:r w:rsidRPr="009C0798">
        <w:rPr>
          <w:rFonts w:ascii="Times New Roman" w:eastAsia="Times New Roman" w:hAnsi="Times New Roman" w:cs="Times New Roman"/>
          <w:sz w:val="22"/>
          <w:szCs w:val="22"/>
          <w:lang w:val="et-EE" w:eastAsia="et-EE"/>
        </w:rPr>
        <w:t>Novartis Baltics</w:t>
      </w:r>
    </w:p>
    <w:p w:rsidR="00085B4A" w:rsidRPr="009C0798" w:rsidRDefault="00085B4A" w:rsidP="00085B4A">
      <w:pPr>
        <w:spacing w:after="0" w:line="240" w:lineRule="auto"/>
        <w:jc w:val="both"/>
        <w:rPr>
          <w:rFonts w:ascii="Times New Roman" w:eastAsia="Times New Roman" w:hAnsi="Times New Roman" w:cs="Times New Roman"/>
          <w:sz w:val="22"/>
          <w:szCs w:val="22"/>
          <w:lang w:val="lt-LT" w:eastAsia="et-EE"/>
        </w:rPr>
      </w:pPr>
      <w:r w:rsidRPr="00B45197">
        <w:rPr>
          <w:rFonts w:ascii="Times New Roman" w:eastAsia="Times New Roman" w:hAnsi="Times New Roman" w:cs="Times New Roman"/>
          <w:sz w:val="22"/>
          <w:szCs w:val="22"/>
          <w:lang w:val="lt-LT" w:eastAsia="et-EE"/>
        </w:rPr>
        <w:t>Skanstes iela 25</w:t>
      </w:r>
    </w:p>
    <w:p w:rsidR="00085B4A" w:rsidRPr="009C0798" w:rsidRDefault="00085B4A" w:rsidP="00085B4A">
      <w:pPr>
        <w:widowControl w:val="0"/>
        <w:suppressLineNumbers/>
        <w:suppressAutoHyphens/>
        <w:spacing w:after="0" w:line="240" w:lineRule="auto"/>
        <w:rPr>
          <w:rFonts w:ascii="Times New Roman" w:eastAsia="Times New Roman" w:hAnsi="Times New Roman" w:cs="Times New Roman"/>
          <w:sz w:val="22"/>
          <w:szCs w:val="22"/>
          <w:lang w:val="lt-LT" w:eastAsia="et-EE"/>
        </w:rPr>
      </w:pPr>
      <w:r w:rsidRPr="009C0798">
        <w:rPr>
          <w:rFonts w:ascii="Times New Roman" w:eastAsia="Times New Roman" w:hAnsi="Times New Roman" w:cs="Times New Roman"/>
          <w:sz w:val="22"/>
          <w:szCs w:val="22"/>
          <w:lang w:val="lt-LT" w:eastAsia="et-EE"/>
        </w:rPr>
        <w:t>LV-</w:t>
      </w:r>
      <w:r>
        <w:rPr>
          <w:rFonts w:ascii="Times New Roman" w:eastAsia="Times New Roman" w:hAnsi="Times New Roman" w:cs="Times New Roman"/>
          <w:sz w:val="22"/>
          <w:szCs w:val="22"/>
          <w:lang w:val="lt-LT" w:eastAsia="et-EE"/>
        </w:rPr>
        <w:t>1013</w:t>
      </w:r>
      <w:r w:rsidRPr="009C0798">
        <w:rPr>
          <w:rFonts w:ascii="Times New Roman" w:eastAsia="Times New Roman" w:hAnsi="Times New Roman" w:cs="Times New Roman"/>
          <w:sz w:val="22"/>
          <w:szCs w:val="22"/>
          <w:lang w:val="lt-LT" w:eastAsia="et-EE"/>
        </w:rPr>
        <w:t>, Rīga</w:t>
      </w:r>
    </w:p>
    <w:p w:rsidR="00085B4A" w:rsidRPr="009C0798" w:rsidRDefault="00085B4A" w:rsidP="00085B4A">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Times New Roman" w:hAnsi="Times New Roman" w:cs="Times New Roman"/>
          <w:sz w:val="22"/>
          <w:szCs w:val="22"/>
          <w:lang w:val="lt-LT" w:eastAsia="et-EE"/>
        </w:rPr>
        <w:t>Latvija</w:t>
      </w:r>
    </w:p>
    <w:p w:rsidR="00085B4A" w:rsidRPr="009C0798" w:rsidRDefault="00085B4A" w:rsidP="00085B4A">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p>
    <w:p w:rsidR="00085B4A" w:rsidRPr="009C0798" w:rsidRDefault="00085B4A" w:rsidP="00085B4A">
      <w:pPr>
        <w:keepNext/>
        <w:keepLines/>
        <w:widowControl w:val="0"/>
        <w:tabs>
          <w:tab w:val="left" w:pos="567"/>
        </w:tabs>
        <w:spacing w:after="0" w:line="240" w:lineRule="auto"/>
        <w:outlineLvl w:val="0"/>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 xml:space="preserve">Gamintojas </w:t>
      </w:r>
    </w:p>
    <w:p w:rsidR="00085B4A" w:rsidRPr="00523E42" w:rsidRDefault="00085B4A" w:rsidP="00085B4A">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Siegfried El Masnou, S.A.</w:t>
      </w:r>
    </w:p>
    <w:p w:rsidR="00085B4A" w:rsidRPr="00523E42" w:rsidRDefault="00085B4A" w:rsidP="00085B4A">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Camil Fabra 58</w:t>
      </w:r>
    </w:p>
    <w:p w:rsidR="00085B4A" w:rsidRPr="00523E42" w:rsidRDefault="00085B4A" w:rsidP="00085B4A">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08320 El Masnou</w:t>
      </w:r>
    </w:p>
    <w:p w:rsidR="00085B4A" w:rsidRPr="00523E42" w:rsidRDefault="00085B4A" w:rsidP="00085B4A">
      <w:pPr>
        <w:spacing w:after="0" w:line="240" w:lineRule="auto"/>
        <w:rPr>
          <w:rFonts w:ascii="Times New Roman" w:eastAsia="Times New Roman" w:hAnsi="Times New Roman" w:cs="Times New Roman"/>
          <w:sz w:val="22"/>
          <w:szCs w:val="22"/>
          <w:highlight w:val="lightGray"/>
          <w:lang w:val="lt-LT"/>
        </w:rPr>
      </w:pPr>
      <w:r w:rsidRPr="00523E42">
        <w:rPr>
          <w:rFonts w:ascii="Times New Roman" w:eastAsia="Times New Roman" w:hAnsi="Times New Roman" w:cs="Times New Roman"/>
          <w:sz w:val="22"/>
          <w:szCs w:val="22"/>
          <w:highlight w:val="lightGray"/>
          <w:lang w:val="lt-LT"/>
        </w:rPr>
        <w:t>Barcelona</w:t>
      </w:r>
    </w:p>
    <w:p w:rsidR="00085B4A" w:rsidRPr="008C71E3" w:rsidRDefault="00085B4A" w:rsidP="00085B4A">
      <w:pPr>
        <w:spacing w:after="0" w:line="240" w:lineRule="auto"/>
        <w:rPr>
          <w:rFonts w:ascii="Times New Roman" w:eastAsia="Times New Roman" w:hAnsi="Times New Roman" w:cs="Times New Roman"/>
          <w:sz w:val="22"/>
          <w:szCs w:val="22"/>
          <w:lang w:val="lt-LT"/>
        </w:rPr>
      </w:pPr>
      <w:r w:rsidRPr="00523E42">
        <w:rPr>
          <w:rFonts w:ascii="Times New Roman" w:eastAsia="Times New Roman" w:hAnsi="Times New Roman" w:cs="Times New Roman"/>
          <w:sz w:val="22"/>
          <w:szCs w:val="22"/>
          <w:highlight w:val="lightGray"/>
          <w:lang w:val="lt-LT"/>
        </w:rPr>
        <w:t>Ispanija</w:t>
      </w:r>
    </w:p>
    <w:p w:rsidR="00085B4A" w:rsidRPr="008C71E3" w:rsidRDefault="00085B4A" w:rsidP="00085B4A">
      <w:pPr>
        <w:spacing w:after="0" w:line="240" w:lineRule="auto"/>
        <w:rPr>
          <w:rFonts w:ascii="Times New Roman" w:eastAsia="Times New Roman" w:hAnsi="Times New Roman" w:cs="Times New Roman"/>
          <w:sz w:val="22"/>
          <w:szCs w:val="22"/>
          <w:lang w:val="lt-LT"/>
        </w:rPr>
      </w:pPr>
    </w:p>
    <w:p w:rsidR="00085B4A" w:rsidRPr="008C71E3" w:rsidRDefault="00085B4A" w:rsidP="00085B4A">
      <w:pPr>
        <w:spacing w:after="0" w:line="240" w:lineRule="auto"/>
        <w:rPr>
          <w:rFonts w:ascii="Times New Roman" w:eastAsia="Times New Roman" w:hAnsi="Times New Roman" w:cs="Times New Roman"/>
          <w:sz w:val="22"/>
          <w:szCs w:val="22"/>
          <w:lang w:val="lt-LT"/>
        </w:rPr>
      </w:pPr>
      <w:r w:rsidRPr="008C71E3">
        <w:rPr>
          <w:rFonts w:ascii="Times New Roman" w:eastAsia="Times New Roman" w:hAnsi="Times New Roman" w:cs="Times New Roman"/>
          <w:sz w:val="22"/>
          <w:szCs w:val="22"/>
          <w:lang w:val="lt-LT"/>
        </w:rPr>
        <w:t>arba</w:t>
      </w:r>
    </w:p>
    <w:p w:rsidR="00085B4A" w:rsidRDefault="00085B4A" w:rsidP="00085B4A">
      <w:pPr>
        <w:keepNext/>
        <w:keepLines/>
        <w:widowControl w:val="0"/>
        <w:tabs>
          <w:tab w:val="left" w:pos="567"/>
        </w:tabs>
        <w:spacing w:after="0" w:line="240" w:lineRule="auto"/>
        <w:rPr>
          <w:rFonts w:ascii="Times New Roman" w:eastAsia="MS Mincho" w:hAnsi="Times New Roman" w:cs="Times New Roman"/>
          <w:sz w:val="22"/>
          <w:szCs w:val="22"/>
          <w:lang w:val="lt-LT"/>
        </w:rPr>
      </w:pPr>
    </w:p>
    <w:p w:rsidR="00085B4A" w:rsidRPr="00523E42" w:rsidRDefault="00085B4A" w:rsidP="00085B4A">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rPr>
        <w:t>Novartis Manufacturing</w:t>
      </w:r>
      <w:r w:rsidRPr="00523E42">
        <w:rPr>
          <w:rFonts w:ascii="Times New Roman" w:eastAsia="MS Mincho" w:hAnsi="Times New Roman" w:cs="Times New Roman"/>
          <w:sz w:val="22"/>
          <w:szCs w:val="22"/>
          <w:highlight w:val="lightGray"/>
          <w:lang w:val="lt-LT"/>
        </w:rPr>
        <w:t xml:space="preserve"> NV</w:t>
      </w:r>
    </w:p>
    <w:p w:rsidR="00085B4A" w:rsidRPr="00523E42" w:rsidRDefault="00085B4A" w:rsidP="00085B4A">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Rijksweg 14</w:t>
      </w:r>
    </w:p>
    <w:p w:rsidR="00085B4A" w:rsidRPr="00523E42" w:rsidRDefault="00085B4A" w:rsidP="00085B4A">
      <w:pPr>
        <w:keepNext/>
        <w:keepLines/>
        <w:widowControl w:val="0"/>
        <w:tabs>
          <w:tab w:val="left" w:pos="567"/>
        </w:tabs>
        <w:spacing w:after="0" w:line="240" w:lineRule="auto"/>
        <w:rPr>
          <w:rFonts w:ascii="Times New Roman" w:eastAsia="MS Mincho" w:hAnsi="Times New Roman" w:cs="Times New Roman"/>
          <w:sz w:val="22"/>
          <w:szCs w:val="22"/>
          <w:highlight w:val="lightGray"/>
          <w:lang w:val="lt-LT"/>
        </w:rPr>
      </w:pPr>
      <w:r w:rsidRPr="00523E42">
        <w:rPr>
          <w:rFonts w:ascii="Times New Roman" w:eastAsia="MS Mincho" w:hAnsi="Times New Roman" w:cs="Times New Roman"/>
          <w:sz w:val="22"/>
          <w:szCs w:val="22"/>
          <w:highlight w:val="lightGray"/>
          <w:lang w:val="lt-LT"/>
        </w:rPr>
        <w:t>2870 Puurs</w:t>
      </w:r>
      <w:r w:rsidRPr="00523E42">
        <w:rPr>
          <w:rFonts w:ascii="Times New Roman" w:eastAsia="MS Mincho" w:hAnsi="Times New Roman" w:cs="Times New Roman"/>
          <w:sz w:val="22"/>
          <w:szCs w:val="22"/>
          <w:highlight w:val="lightGray"/>
        </w:rPr>
        <w:t>-Sint-Amands</w:t>
      </w:r>
    </w:p>
    <w:p w:rsidR="00085B4A" w:rsidRPr="009C0798" w:rsidRDefault="00085B4A" w:rsidP="00085B4A">
      <w:pPr>
        <w:keepNext/>
        <w:keepLines/>
        <w:widowControl w:val="0"/>
        <w:tabs>
          <w:tab w:val="left" w:pos="567"/>
        </w:tabs>
        <w:spacing w:after="0" w:line="240" w:lineRule="auto"/>
        <w:rPr>
          <w:rFonts w:ascii="Times New Roman" w:eastAsia="MS Mincho" w:hAnsi="Times New Roman" w:cs="Times New Roman"/>
          <w:sz w:val="22"/>
          <w:szCs w:val="22"/>
          <w:lang w:val="lt-LT"/>
        </w:rPr>
      </w:pPr>
      <w:r w:rsidRPr="00523E42">
        <w:rPr>
          <w:rFonts w:ascii="Times New Roman" w:eastAsia="MS Mincho" w:hAnsi="Times New Roman" w:cs="Times New Roman"/>
          <w:sz w:val="22"/>
          <w:szCs w:val="22"/>
          <w:highlight w:val="lightGray"/>
          <w:lang w:val="lt-LT"/>
        </w:rPr>
        <w:t>Belgija</w:t>
      </w:r>
    </w:p>
    <w:p w:rsidR="00085B4A"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B779AF"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a</w:t>
      </w:r>
      <w:r w:rsidRPr="00B779AF">
        <w:rPr>
          <w:rFonts w:ascii="Times New Roman" w:eastAsia="MS Mincho" w:hAnsi="Times New Roman" w:cs="Times New Roman"/>
          <w:bCs/>
          <w:sz w:val="22"/>
          <w:szCs w:val="22"/>
          <w:lang w:val="lt-LT"/>
        </w:rPr>
        <w:t>rba</w:t>
      </w:r>
    </w:p>
    <w:p w:rsidR="00085B4A" w:rsidRPr="00B779AF"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p>
    <w:p w:rsidR="00085B4A" w:rsidRPr="00523E42" w:rsidRDefault="00085B4A" w:rsidP="00085B4A">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Novartis Pharma GmbH</w:t>
      </w:r>
    </w:p>
    <w:p w:rsidR="00085B4A" w:rsidRPr="00523E42" w:rsidRDefault="00085B4A" w:rsidP="00085B4A">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Roonstrasse 25</w:t>
      </w:r>
    </w:p>
    <w:p w:rsidR="00085B4A" w:rsidRPr="00523E42" w:rsidRDefault="00085B4A" w:rsidP="00085B4A">
      <w:pPr>
        <w:widowControl w:val="0"/>
        <w:tabs>
          <w:tab w:val="left" w:pos="567"/>
        </w:tabs>
        <w:spacing w:after="0" w:line="240" w:lineRule="auto"/>
        <w:rPr>
          <w:rFonts w:ascii="Times New Roman" w:eastAsia="MS Mincho" w:hAnsi="Times New Roman" w:cs="Times New Roman"/>
          <w:bCs/>
          <w:sz w:val="22"/>
          <w:szCs w:val="22"/>
          <w:highlight w:val="lightGray"/>
          <w:lang w:val="lt-LT"/>
        </w:rPr>
      </w:pPr>
      <w:r w:rsidRPr="00523E42">
        <w:rPr>
          <w:rFonts w:ascii="Times New Roman" w:eastAsia="MS Mincho" w:hAnsi="Times New Roman" w:cs="Times New Roman"/>
          <w:bCs/>
          <w:sz w:val="22"/>
          <w:szCs w:val="22"/>
          <w:highlight w:val="lightGray"/>
          <w:lang w:val="lt-LT"/>
        </w:rPr>
        <w:t>90429 Nürnberg</w:t>
      </w:r>
    </w:p>
    <w:p w:rsidR="00085B4A" w:rsidRPr="00B779AF"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sidRPr="00523E42">
        <w:rPr>
          <w:rFonts w:ascii="Times New Roman" w:eastAsia="MS Mincho" w:hAnsi="Times New Roman" w:cs="Times New Roman"/>
          <w:bCs/>
          <w:sz w:val="22"/>
          <w:szCs w:val="22"/>
          <w:highlight w:val="lightGray"/>
          <w:lang w:val="lt-LT"/>
        </w:rPr>
        <w:t>Vokietija</w:t>
      </w:r>
    </w:p>
    <w:p w:rsidR="00085B4A"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p>
    <w:p w:rsidR="00085B4A"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arba</w:t>
      </w:r>
    </w:p>
    <w:p w:rsidR="00085B4A"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p>
    <w:p w:rsidR="00085B4A" w:rsidRPr="008C4DC5"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Novartis Farmacéutica, S.A.</w:t>
      </w:r>
    </w:p>
    <w:p w:rsidR="00085B4A" w:rsidRPr="008C4DC5"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Gran Via de les Corts Catalanes,764</w:t>
      </w:r>
    </w:p>
    <w:p w:rsidR="00085B4A" w:rsidRPr="008C4DC5"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sidRPr="008C4DC5">
        <w:rPr>
          <w:rFonts w:ascii="Times New Roman" w:eastAsia="MS Mincho" w:hAnsi="Times New Roman" w:cs="Times New Roman"/>
          <w:bCs/>
          <w:sz w:val="22"/>
          <w:szCs w:val="22"/>
          <w:lang w:val="lt-LT"/>
        </w:rPr>
        <w:t>08013 Barcelona</w:t>
      </w:r>
    </w:p>
    <w:p w:rsidR="00085B4A" w:rsidRPr="00B779AF" w:rsidRDefault="00085B4A" w:rsidP="00085B4A">
      <w:pPr>
        <w:widowControl w:val="0"/>
        <w:tabs>
          <w:tab w:val="left" w:pos="567"/>
        </w:tabs>
        <w:spacing w:after="0" w:line="240" w:lineRule="auto"/>
        <w:rPr>
          <w:rFonts w:ascii="Times New Roman" w:eastAsia="MS Mincho" w:hAnsi="Times New Roman" w:cs="Times New Roman"/>
          <w:bCs/>
          <w:sz w:val="22"/>
          <w:szCs w:val="22"/>
          <w:lang w:val="lt-LT"/>
        </w:rPr>
      </w:pPr>
      <w:r>
        <w:rPr>
          <w:rFonts w:ascii="Times New Roman" w:eastAsia="MS Mincho" w:hAnsi="Times New Roman" w:cs="Times New Roman"/>
          <w:bCs/>
          <w:sz w:val="22"/>
          <w:szCs w:val="22"/>
          <w:lang w:val="lt-LT"/>
        </w:rPr>
        <w:t>Ispanija</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tabs>
          <w:tab w:val="left" w:pos="567"/>
        </w:tabs>
        <w:spacing w:after="0" w:line="240" w:lineRule="auto"/>
        <w:rPr>
          <w:rFonts w:ascii="Times New Roman" w:eastAsia="Times New Roman" w:hAnsi="Times New Roman" w:cs="Times New Roman"/>
          <w:sz w:val="22"/>
          <w:szCs w:val="22"/>
          <w:lang w:val="lt-LT"/>
        </w:rPr>
      </w:pPr>
      <w:r w:rsidRPr="009C0798">
        <w:rPr>
          <w:rFonts w:ascii="Times New Roman" w:eastAsia="Times New Roman" w:hAnsi="Times New Roman" w:cs="Times New Roman"/>
          <w:sz w:val="22"/>
          <w:szCs w:val="22"/>
          <w:lang w:val="lt-LT"/>
        </w:rPr>
        <w:t xml:space="preserve">Jeigu apie šį vaistą norite sužinoti daugiau, kreipkitės į vietinį </w:t>
      </w:r>
      <w:r w:rsidRPr="009C0798">
        <w:rPr>
          <w:rFonts w:ascii="Times New Roman" w:eastAsia="Times New Roman" w:hAnsi="Times New Roman" w:cs="Times New Roman"/>
          <w:sz w:val="22"/>
          <w:lang w:val="lt-LT" w:eastAsia="lt-LT"/>
        </w:rPr>
        <w:t xml:space="preserve">registruotojo </w:t>
      </w:r>
      <w:r w:rsidRPr="009C0798">
        <w:rPr>
          <w:rFonts w:ascii="Times New Roman" w:eastAsia="Times New Roman" w:hAnsi="Times New Roman" w:cs="Times New Roman"/>
          <w:sz w:val="22"/>
          <w:szCs w:val="22"/>
          <w:lang w:val="lt-LT"/>
        </w:rPr>
        <w:t>atstovą:</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spacing w:after="0" w:line="240" w:lineRule="auto"/>
        <w:rPr>
          <w:rFonts w:ascii="Times New Roman" w:eastAsia="Calibri" w:hAnsi="Times New Roman" w:cs="Times New Roman"/>
          <w:sz w:val="22"/>
          <w:szCs w:val="22"/>
          <w:lang w:val="lt-LT"/>
        </w:rPr>
      </w:pPr>
      <w:r w:rsidRPr="009C0798">
        <w:rPr>
          <w:rFonts w:ascii="Times New Roman" w:eastAsia="Calibri" w:hAnsi="Times New Roman" w:cs="Times New Roman"/>
          <w:sz w:val="22"/>
          <w:szCs w:val="22"/>
          <w:lang w:val="lt-LT"/>
        </w:rPr>
        <w:t xml:space="preserve">SIA </w:t>
      </w:r>
      <w:r w:rsidRPr="009C0798">
        <w:rPr>
          <w:rFonts w:ascii="Times New Roman" w:eastAsia="Calibri" w:hAnsi="Times New Roman" w:cs="Times New Roman"/>
          <w:sz w:val="22"/>
          <w:szCs w:val="22"/>
          <w:lang w:val="et-EE"/>
        </w:rPr>
        <w:t>Novartis Baltics</w:t>
      </w:r>
      <w:r w:rsidRPr="009C0798">
        <w:rPr>
          <w:rFonts w:ascii="Times New Roman" w:eastAsia="Calibri" w:hAnsi="Times New Roman" w:cs="Times New Roman"/>
          <w:sz w:val="22"/>
          <w:szCs w:val="22"/>
          <w:lang w:val="lt-LT"/>
        </w:rPr>
        <w:t xml:space="preserve"> Lietuvos filialas</w:t>
      </w:r>
    </w:p>
    <w:p w:rsidR="00085B4A" w:rsidRPr="009C0798" w:rsidRDefault="00085B4A" w:rsidP="00085B4A">
      <w:pPr>
        <w:spacing w:after="0" w:line="240" w:lineRule="auto"/>
        <w:rPr>
          <w:rFonts w:ascii="Times New Roman" w:eastAsia="Calibri" w:hAnsi="Times New Roman" w:cs="Times New Roman"/>
          <w:bCs/>
          <w:iCs/>
          <w:sz w:val="22"/>
          <w:szCs w:val="22"/>
          <w:lang w:val="lt-LT"/>
        </w:rPr>
      </w:pPr>
      <w:r>
        <w:rPr>
          <w:rFonts w:ascii="Times New Roman" w:eastAsia="Calibri" w:hAnsi="Times New Roman" w:cs="Times New Roman"/>
          <w:bCs/>
          <w:iCs/>
          <w:sz w:val="22"/>
          <w:szCs w:val="22"/>
          <w:lang w:val="lt-LT"/>
        </w:rPr>
        <w:t xml:space="preserve">Upės g. </w:t>
      </w:r>
      <w:r>
        <w:rPr>
          <w:rFonts w:ascii="Times New Roman" w:eastAsia="Calibri" w:hAnsi="Times New Roman" w:cs="Times New Roman"/>
          <w:bCs/>
          <w:iCs/>
          <w:sz w:val="22"/>
          <w:szCs w:val="22"/>
        </w:rPr>
        <w:t>19-1</w:t>
      </w:r>
    </w:p>
    <w:p w:rsidR="00085B4A" w:rsidRPr="009C0798" w:rsidRDefault="00085B4A" w:rsidP="00085B4A">
      <w:pPr>
        <w:spacing w:after="0" w:line="240" w:lineRule="auto"/>
        <w:rPr>
          <w:rFonts w:ascii="Times New Roman" w:eastAsia="Calibri" w:hAnsi="Times New Roman" w:cs="Times New Roman"/>
          <w:bCs/>
          <w:iCs/>
          <w:sz w:val="22"/>
          <w:szCs w:val="22"/>
          <w:lang w:val="lt-LT"/>
        </w:rPr>
      </w:pPr>
      <w:r w:rsidRPr="009C0798">
        <w:rPr>
          <w:rFonts w:ascii="Times New Roman" w:eastAsia="Calibri" w:hAnsi="Times New Roman" w:cs="Times New Roman"/>
          <w:bCs/>
          <w:iCs/>
          <w:sz w:val="22"/>
          <w:szCs w:val="22"/>
          <w:lang w:val="lt-LT"/>
        </w:rPr>
        <w:t>LT-</w:t>
      </w:r>
      <w:r>
        <w:rPr>
          <w:rFonts w:ascii="Times New Roman" w:eastAsia="Calibri" w:hAnsi="Times New Roman" w:cs="Times New Roman"/>
          <w:bCs/>
          <w:iCs/>
          <w:sz w:val="22"/>
          <w:szCs w:val="22"/>
          <w:lang w:val="lt-LT"/>
        </w:rPr>
        <w:t>08128</w:t>
      </w:r>
      <w:r w:rsidRPr="009C0798">
        <w:rPr>
          <w:rFonts w:ascii="Times New Roman" w:eastAsia="Calibri" w:hAnsi="Times New Roman" w:cs="Times New Roman"/>
          <w:bCs/>
          <w:iCs/>
          <w:sz w:val="22"/>
          <w:szCs w:val="22"/>
          <w:lang w:val="lt-LT"/>
        </w:rPr>
        <w:t xml:space="preserve"> Vilnius</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r w:rsidRPr="009C0798">
        <w:rPr>
          <w:rFonts w:ascii="Times New Roman" w:eastAsia="Calibri" w:hAnsi="Times New Roman" w:cs="Times New Roman"/>
          <w:bCs/>
          <w:iCs/>
          <w:sz w:val="22"/>
          <w:szCs w:val="22"/>
          <w:lang w:val="lt-LT"/>
        </w:rPr>
        <w:t>Tel. + 370 5 269 1650</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9C0798" w:rsidRDefault="00085B4A" w:rsidP="00085B4A">
      <w:pPr>
        <w:widowControl w:val="0"/>
        <w:tabs>
          <w:tab w:val="left" w:pos="567"/>
          <w:tab w:val="left" w:pos="6840"/>
        </w:tabs>
        <w:spacing w:after="0" w:line="240" w:lineRule="auto"/>
        <w:rPr>
          <w:rFonts w:ascii="Times New Roman" w:eastAsia="MS Mincho" w:hAnsi="Times New Roman" w:cs="Times New Roman"/>
          <w:b/>
          <w:sz w:val="22"/>
          <w:szCs w:val="22"/>
          <w:lang w:val="lt-LT"/>
        </w:rPr>
      </w:pPr>
      <w:r w:rsidRPr="009C0798">
        <w:rPr>
          <w:rFonts w:ascii="Times New Roman" w:eastAsia="MS Mincho" w:hAnsi="Times New Roman" w:cs="Times New Roman"/>
          <w:b/>
          <w:sz w:val="22"/>
          <w:szCs w:val="22"/>
          <w:lang w:val="lt-LT"/>
        </w:rPr>
        <w:t>Šis pakuotės lapelis paskutinį kartą peržiūrėtas</w:t>
      </w:r>
      <w:r>
        <w:rPr>
          <w:rFonts w:ascii="Times New Roman" w:eastAsia="MS Mincho" w:hAnsi="Times New Roman" w:cs="Times New Roman"/>
          <w:b/>
          <w:sz w:val="22"/>
          <w:szCs w:val="22"/>
          <w:lang w:val="lt-LT"/>
        </w:rPr>
        <w:t xml:space="preserve"> </w:t>
      </w:r>
      <w:r>
        <w:rPr>
          <w:rFonts w:ascii="Times New Roman" w:eastAsia="MS Mincho" w:hAnsi="Times New Roman" w:cs="Times New Roman"/>
          <w:b/>
          <w:sz w:val="22"/>
          <w:szCs w:val="22"/>
        </w:rPr>
        <w:t>2025-02-01</w:t>
      </w:r>
      <w:r>
        <w:rPr>
          <w:rFonts w:ascii="Times New Roman" w:eastAsia="MS Mincho" w:hAnsi="Times New Roman" w:cs="Times New Roman"/>
          <w:b/>
          <w:sz w:val="22"/>
          <w:szCs w:val="22"/>
          <w:lang w:val="lt-LT"/>
        </w:rPr>
        <w:t>.</w:t>
      </w:r>
    </w:p>
    <w:p w:rsidR="00085B4A" w:rsidRPr="009C0798" w:rsidRDefault="00085B4A" w:rsidP="00085B4A">
      <w:pPr>
        <w:widowControl w:val="0"/>
        <w:tabs>
          <w:tab w:val="left" w:pos="567"/>
        </w:tabs>
        <w:spacing w:after="0" w:line="240" w:lineRule="auto"/>
        <w:rPr>
          <w:rFonts w:ascii="Times New Roman" w:eastAsia="MS Mincho" w:hAnsi="Times New Roman" w:cs="Times New Roman"/>
          <w:b/>
          <w:sz w:val="22"/>
          <w:szCs w:val="22"/>
          <w:lang w:val="lt-LT"/>
        </w:rPr>
      </w:pPr>
    </w:p>
    <w:p w:rsidR="00085B4A" w:rsidRPr="009C0798" w:rsidRDefault="00085B4A" w:rsidP="00085B4A">
      <w:pPr>
        <w:widowControl w:val="0"/>
        <w:numPr>
          <w:ilvl w:val="12"/>
          <w:numId w:val="0"/>
        </w:numPr>
        <w:tabs>
          <w:tab w:val="left" w:pos="567"/>
        </w:tabs>
        <w:spacing w:after="0" w:line="240" w:lineRule="auto"/>
        <w:ind w:right="-2"/>
        <w:rPr>
          <w:rFonts w:ascii="Times New Roman" w:eastAsia="Times New Roman" w:hAnsi="Times New Roman" w:cs="Times New Roman"/>
          <w:snapToGrid w:val="0"/>
          <w:sz w:val="22"/>
          <w:szCs w:val="22"/>
          <w:lang w:val="lt-LT"/>
        </w:rPr>
      </w:pPr>
      <w:r w:rsidRPr="009C0798">
        <w:rPr>
          <w:rFonts w:ascii="Times New Roman" w:eastAsia="Times New Roman" w:hAnsi="Times New Roman" w:cs="Times New Roman"/>
          <w:snapToGrid w:val="0"/>
          <w:sz w:val="22"/>
          <w:szCs w:val="22"/>
          <w:lang w:val="lt-LT"/>
        </w:rPr>
        <w:t>Išsami informacija apie šį vaistą pateikiama Valstybinės vaistų kontrolės tarnybos prie Lietuvos Respublikos sveikatos apsaugos ministerijos tinklalapyje</w:t>
      </w:r>
      <w:r>
        <w:rPr>
          <w:rFonts w:ascii="Times New Roman" w:eastAsia="SimSun" w:hAnsi="Times New Roman" w:cs="Times New Roman"/>
          <w:snapToGrid w:val="0"/>
          <w:color w:val="0000FF"/>
          <w:sz w:val="22"/>
          <w:szCs w:val="22"/>
          <w:u w:val="single"/>
          <w:lang w:val="lt-LT"/>
        </w:rPr>
        <w:t xml:space="preserve"> </w:t>
      </w:r>
      <w:r w:rsidRPr="00A64E46">
        <w:rPr>
          <w:rFonts w:ascii="Times New Roman" w:eastAsia="SimSun" w:hAnsi="Times New Roman" w:cs="Times New Roman"/>
          <w:snapToGrid w:val="0"/>
          <w:color w:val="0000FF"/>
          <w:sz w:val="22"/>
          <w:szCs w:val="22"/>
          <w:u w:val="single"/>
          <w:lang w:val="lt-LT"/>
        </w:rPr>
        <w:t>https://vvkt.lrv.lt/lt/.</w:t>
      </w:r>
    </w:p>
    <w:p w:rsidR="00085B4A" w:rsidRPr="009C0798" w:rsidRDefault="00085B4A" w:rsidP="00085B4A">
      <w:pPr>
        <w:widowControl w:val="0"/>
        <w:tabs>
          <w:tab w:val="left" w:pos="567"/>
        </w:tabs>
        <w:spacing w:after="0" w:line="240" w:lineRule="auto"/>
        <w:rPr>
          <w:rFonts w:ascii="Times New Roman" w:eastAsia="MS Mincho" w:hAnsi="Times New Roman" w:cs="Times New Roman"/>
          <w:sz w:val="22"/>
          <w:szCs w:val="22"/>
          <w:lang w:val="lt-LT"/>
        </w:rPr>
      </w:pPr>
    </w:p>
    <w:p w:rsidR="00085B4A" w:rsidRPr="00F31F85" w:rsidRDefault="00085B4A" w:rsidP="00085B4A"/>
    <w:p w:rsidR="00BA6577" w:rsidRDefault="00BA6577">
      <w:bookmarkStart w:id="0" w:name="_GoBack"/>
      <w:bookmarkEnd w:id="0"/>
    </w:p>
    <w:sectPr w:rsidR="00BA6577" w:rsidSect="00E76721">
      <w:pgSz w:w="12240" w:h="15840"/>
      <w:pgMar w:top="1134" w:right="1418" w:bottom="1134" w:left="1418" w:header="720" w:footer="720" w:gutter="0"/>
      <w:cols w:space="1296"/>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BA"/>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BA"/>
    <w:family w:val="swiss"/>
    <w:pitch w:val="variable"/>
    <w:sig w:usb0="E4002EFF" w:usb1="C000247B" w:usb2="00000009" w:usb3="00000000" w:csb0="000001FF" w:csb1="00000000"/>
  </w:font>
  <w:font w:name="Arial">
    <w:panose1 w:val="020B0604020202020204"/>
    <w:charset w:val="BA"/>
    <w:family w:val="swiss"/>
    <w:pitch w:val="variable"/>
    <w:sig w:usb0="E0002EFF" w:usb1="C000785B" w:usb2="00000009" w:usb3="00000000" w:csb0="000001FF" w:csb1="00000000"/>
  </w:font>
  <w:font w:name="MS Mincho">
    <w:altName w:val="Yu Gothic UI"/>
    <w:panose1 w:val="02020609040205080304"/>
    <w:charset w:val="80"/>
    <w:family w:val="modern"/>
    <w:pitch w:val="fixed"/>
    <w:sig w:usb0="E00002FF" w:usb1="6AC7FDFB" w:usb2="08000012" w:usb3="00000000" w:csb0="0002009F" w:csb1="00000000"/>
  </w:font>
  <w:font w:name="SimSun">
    <w:altName w:val="宋体"/>
    <w:panose1 w:val="02010600030101010101"/>
    <w:charset w:val="86"/>
    <w:family w:val="auto"/>
    <w:pitch w:val="variable"/>
    <w:sig w:usb0="00000203" w:usb1="288F0000" w:usb2="00000016" w:usb3="00000000" w:csb0="00040001" w:csb1="00000000"/>
  </w:font>
  <w:font w:name="Calibri Light">
    <w:panose1 w:val="020F0302020204030204"/>
    <w:charset w:val="BA"/>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A47754"/>
    <w:multiLevelType w:val="hybridMultilevel"/>
    <w:tmpl w:val="42A40C1A"/>
    <w:lvl w:ilvl="0" w:tplc="FFFFFFFF">
      <w:start w:val="1"/>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1" w15:restartNumberingAfterBreak="0">
    <w:nsid w:val="03697FC9"/>
    <w:multiLevelType w:val="singleLevel"/>
    <w:tmpl w:val="0C09000F"/>
    <w:lvl w:ilvl="0">
      <w:start w:val="1"/>
      <w:numFmt w:val="decimal"/>
      <w:lvlText w:val="%1."/>
      <w:lvlJc w:val="left"/>
      <w:pPr>
        <w:tabs>
          <w:tab w:val="num" w:pos="360"/>
        </w:tabs>
        <w:ind w:left="360" w:hanging="360"/>
      </w:pPr>
      <w:rPr>
        <w:rFonts w:hint="default"/>
      </w:rPr>
    </w:lvl>
  </w:abstractNum>
  <w:abstractNum w:abstractNumId="2" w15:restartNumberingAfterBreak="0">
    <w:nsid w:val="10070048"/>
    <w:multiLevelType w:val="hybridMultilevel"/>
    <w:tmpl w:val="D382CED2"/>
    <w:lvl w:ilvl="0" w:tplc="FFFFFFFF">
      <w:start w:val="1"/>
      <w:numFmt w:val="bullet"/>
      <w:lvlText w:val="-"/>
      <w:lvlJc w:val="left"/>
      <w:pPr>
        <w:tabs>
          <w:tab w:val="num" w:pos="360"/>
        </w:tabs>
        <w:ind w:left="360" w:hanging="360"/>
      </w:pPr>
      <w:rPr>
        <w:rFonts w:hint="default"/>
      </w:rPr>
    </w:lvl>
    <w:lvl w:ilvl="1" w:tplc="04270003" w:tentative="1">
      <w:start w:val="1"/>
      <w:numFmt w:val="bullet"/>
      <w:lvlText w:val="o"/>
      <w:lvlJc w:val="left"/>
      <w:pPr>
        <w:tabs>
          <w:tab w:val="num" w:pos="1080"/>
        </w:tabs>
        <w:ind w:left="1080" w:hanging="360"/>
      </w:pPr>
      <w:rPr>
        <w:rFonts w:ascii="Courier New" w:hAnsi="Courier New" w:cs="Courier New" w:hint="default"/>
      </w:rPr>
    </w:lvl>
    <w:lvl w:ilvl="2" w:tplc="04270005" w:tentative="1">
      <w:start w:val="1"/>
      <w:numFmt w:val="bullet"/>
      <w:lvlText w:val=""/>
      <w:lvlJc w:val="left"/>
      <w:pPr>
        <w:tabs>
          <w:tab w:val="num" w:pos="1800"/>
        </w:tabs>
        <w:ind w:left="1800" w:hanging="360"/>
      </w:pPr>
      <w:rPr>
        <w:rFonts w:ascii="Wingdings" w:hAnsi="Wingdings" w:hint="default"/>
      </w:rPr>
    </w:lvl>
    <w:lvl w:ilvl="3" w:tplc="04270001" w:tentative="1">
      <w:start w:val="1"/>
      <w:numFmt w:val="bullet"/>
      <w:lvlText w:val=""/>
      <w:lvlJc w:val="left"/>
      <w:pPr>
        <w:tabs>
          <w:tab w:val="num" w:pos="2520"/>
        </w:tabs>
        <w:ind w:left="2520" w:hanging="360"/>
      </w:pPr>
      <w:rPr>
        <w:rFonts w:ascii="Symbol" w:hAnsi="Symbol" w:hint="default"/>
      </w:rPr>
    </w:lvl>
    <w:lvl w:ilvl="4" w:tplc="04270003" w:tentative="1">
      <w:start w:val="1"/>
      <w:numFmt w:val="bullet"/>
      <w:lvlText w:val="o"/>
      <w:lvlJc w:val="left"/>
      <w:pPr>
        <w:tabs>
          <w:tab w:val="num" w:pos="3240"/>
        </w:tabs>
        <w:ind w:left="3240" w:hanging="360"/>
      </w:pPr>
      <w:rPr>
        <w:rFonts w:ascii="Courier New" w:hAnsi="Courier New" w:cs="Courier New" w:hint="default"/>
      </w:rPr>
    </w:lvl>
    <w:lvl w:ilvl="5" w:tplc="04270005" w:tentative="1">
      <w:start w:val="1"/>
      <w:numFmt w:val="bullet"/>
      <w:lvlText w:val=""/>
      <w:lvlJc w:val="left"/>
      <w:pPr>
        <w:tabs>
          <w:tab w:val="num" w:pos="3960"/>
        </w:tabs>
        <w:ind w:left="3960" w:hanging="360"/>
      </w:pPr>
      <w:rPr>
        <w:rFonts w:ascii="Wingdings" w:hAnsi="Wingdings" w:hint="default"/>
      </w:rPr>
    </w:lvl>
    <w:lvl w:ilvl="6" w:tplc="04270001" w:tentative="1">
      <w:start w:val="1"/>
      <w:numFmt w:val="bullet"/>
      <w:lvlText w:val=""/>
      <w:lvlJc w:val="left"/>
      <w:pPr>
        <w:tabs>
          <w:tab w:val="num" w:pos="4680"/>
        </w:tabs>
        <w:ind w:left="4680" w:hanging="360"/>
      </w:pPr>
      <w:rPr>
        <w:rFonts w:ascii="Symbol" w:hAnsi="Symbol" w:hint="default"/>
      </w:rPr>
    </w:lvl>
    <w:lvl w:ilvl="7" w:tplc="04270003" w:tentative="1">
      <w:start w:val="1"/>
      <w:numFmt w:val="bullet"/>
      <w:lvlText w:val="o"/>
      <w:lvlJc w:val="left"/>
      <w:pPr>
        <w:tabs>
          <w:tab w:val="num" w:pos="5400"/>
        </w:tabs>
        <w:ind w:left="5400" w:hanging="360"/>
      </w:pPr>
      <w:rPr>
        <w:rFonts w:ascii="Courier New" w:hAnsi="Courier New" w:cs="Courier New" w:hint="default"/>
      </w:rPr>
    </w:lvl>
    <w:lvl w:ilvl="8" w:tplc="04270005" w:tentative="1">
      <w:start w:val="1"/>
      <w:numFmt w:val="bullet"/>
      <w:lvlText w:val=""/>
      <w:lvlJc w:val="left"/>
      <w:pPr>
        <w:tabs>
          <w:tab w:val="num" w:pos="6120"/>
        </w:tabs>
        <w:ind w:left="6120" w:hanging="360"/>
      </w:pPr>
      <w:rPr>
        <w:rFonts w:ascii="Wingdings" w:hAnsi="Wingdings" w:hint="default"/>
      </w:rPr>
    </w:lvl>
  </w:abstractNum>
  <w:abstractNum w:abstractNumId="3" w15:restartNumberingAfterBreak="0">
    <w:nsid w:val="10425D45"/>
    <w:multiLevelType w:val="hybridMultilevel"/>
    <w:tmpl w:val="4386F070"/>
    <w:lvl w:ilvl="0" w:tplc="0C50B85A">
      <w:start w:val="4"/>
      <w:numFmt w:val="decimal"/>
      <w:lvlText w:val="%1."/>
      <w:lvlJc w:val="left"/>
      <w:pPr>
        <w:tabs>
          <w:tab w:val="num" w:pos="360"/>
        </w:tabs>
        <w:ind w:left="360" w:hanging="360"/>
      </w:pPr>
      <w:rPr>
        <w:rFonts w:hint="default"/>
      </w:rPr>
    </w:lvl>
    <w:lvl w:ilvl="1" w:tplc="04060019" w:tentative="1">
      <w:start w:val="1"/>
      <w:numFmt w:val="lowerLetter"/>
      <w:lvlText w:val="%2."/>
      <w:lvlJc w:val="left"/>
      <w:pPr>
        <w:tabs>
          <w:tab w:val="num" w:pos="1440"/>
        </w:tabs>
        <w:ind w:left="1440" w:hanging="360"/>
      </w:pPr>
    </w:lvl>
    <w:lvl w:ilvl="2" w:tplc="0406001B" w:tentative="1">
      <w:start w:val="1"/>
      <w:numFmt w:val="lowerRoman"/>
      <w:lvlText w:val="%3."/>
      <w:lvlJc w:val="right"/>
      <w:pPr>
        <w:tabs>
          <w:tab w:val="num" w:pos="2160"/>
        </w:tabs>
        <w:ind w:left="2160" w:hanging="180"/>
      </w:pPr>
    </w:lvl>
    <w:lvl w:ilvl="3" w:tplc="0406000F" w:tentative="1">
      <w:start w:val="1"/>
      <w:numFmt w:val="decimal"/>
      <w:lvlText w:val="%4."/>
      <w:lvlJc w:val="left"/>
      <w:pPr>
        <w:tabs>
          <w:tab w:val="num" w:pos="2880"/>
        </w:tabs>
        <w:ind w:left="2880" w:hanging="360"/>
      </w:pPr>
    </w:lvl>
    <w:lvl w:ilvl="4" w:tplc="04060019" w:tentative="1">
      <w:start w:val="1"/>
      <w:numFmt w:val="lowerLetter"/>
      <w:lvlText w:val="%5."/>
      <w:lvlJc w:val="left"/>
      <w:pPr>
        <w:tabs>
          <w:tab w:val="num" w:pos="3600"/>
        </w:tabs>
        <w:ind w:left="3600" w:hanging="360"/>
      </w:pPr>
    </w:lvl>
    <w:lvl w:ilvl="5" w:tplc="0406001B" w:tentative="1">
      <w:start w:val="1"/>
      <w:numFmt w:val="lowerRoman"/>
      <w:lvlText w:val="%6."/>
      <w:lvlJc w:val="right"/>
      <w:pPr>
        <w:tabs>
          <w:tab w:val="num" w:pos="4320"/>
        </w:tabs>
        <w:ind w:left="4320" w:hanging="180"/>
      </w:pPr>
    </w:lvl>
    <w:lvl w:ilvl="6" w:tplc="0406000F" w:tentative="1">
      <w:start w:val="1"/>
      <w:numFmt w:val="decimal"/>
      <w:lvlText w:val="%7."/>
      <w:lvlJc w:val="left"/>
      <w:pPr>
        <w:tabs>
          <w:tab w:val="num" w:pos="5040"/>
        </w:tabs>
        <w:ind w:left="5040" w:hanging="360"/>
      </w:pPr>
    </w:lvl>
    <w:lvl w:ilvl="7" w:tplc="04060019" w:tentative="1">
      <w:start w:val="1"/>
      <w:numFmt w:val="lowerLetter"/>
      <w:lvlText w:val="%8."/>
      <w:lvlJc w:val="left"/>
      <w:pPr>
        <w:tabs>
          <w:tab w:val="num" w:pos="5760"/>
        </w:tabs>
        <w:ind w:left="5760" w:hanging="360"/>
      </w:pPr>
    </w:lvl>
    <w:lvl w:ilvl="8" w:tplc="0406001B" w:tentative="1">
      <w:start w:val="1"/>
      <w:numFmt w:val="lowerRoman"/>
      <w:lvlText w:val="%9."/>
      <w:lvlJc w:val="right"/>
      <w:pPr>
        <w:tabs>
          <w:tab w:val="num" w:pos="6480"/>
        </w:tabs>
        <w:ind w:left="6480" w:hanging="180"/>
      </w:pPr>
    </w:lvl>
  </w:abstractNum>
  <w:abstractNum w:abstractNumId="4" w15:restartNumberingAfterBreak="0">
    <w:nsid w:val="221420DA"/>
    <w:multiLevelType w:val="singleLevel"/>
    <w:tmpl w:val="0C09000F"/>
    <w:lvl w:ilvl="0">
      <w:start w:val="1"/>
      <w:numFmt w:val="decimal"/>
      <w:lvlText w:val="%1."/>
      <w:lvlJc w:val="left"/>
      <w:pPr>
        <w:tabs>
          <w:tab w:val="num" w:pos="360"/>
        </w:tabs>
        <w:ind w:left="360" w:hanging="360"/>
      </w:pPr>
      <w:rPr>
        <w:rFonts w:hint="default"/>
      </w:rPr>
    </w:lvl>
  </w:abstractNum>
  <w:abstractNum w:abstractNumId="5" w15:restartNumberingAfterBreak="0">
    <w:nsid w:val="4DAF6C4A"/>
    <w:multiLevelType w:val="singleLevel"/>
    <w:tmpl w:val="0C09000F"/>
    <w:lvl w:ilvl="0">
      <w:start w:val="1"/>
      <w:numFmt w:val="decimal"/>
      <w:lvlText w:val="%1."/>
      <w:lvlJc w:val="left"/>
      <w:pPr>
        <w:tabs>
          <w:tab w:val="num" w:pos="360"/>
        </w:tabs>
        <w:ind w:left="360" w:hanging="360"/>
      </w:pPr>
      <w:rPr>
        <w:rFonts w:hint="default"/>
      </w:rPr>
    </w:lvl>
  </w:abstractNum>
  <w:abstractNum w:abstractNumId="6" w15:restartNumberingAfterBreak="0">
    <w:nsid w:val="53467727"/>
    <w:multiLevelType w:val="hybridMultilevel"/>
    <w:tmpl w:val="B9FEF7E0"/>
    <w:lvl w:ilvl="0" w:tplc="FFFFFFFF">
      <w:start w:val="1"/>
      <w:numFmt w:val="bullet"/>
      <w:lvlText w:val="-"/>
      <w:lvlJc w:val="left"/>
      <w:pPr>
        <w:ind w:left="720" w:hanging="360"/>
      </w:p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735A114F"/>
    <w:multiLevelType w:val="singleLevel"/>
    <w:tmpl w:val="0C090001"/>
    <w:lvl w:ilvl="0">
      <w:start w:val="1"/>
      <w:numFmt w:val="bullet"/>
      <w:lvlText w:val=""/>
      <w:lvlJc w:val="left"/>
      <w:pPr>
        <w:tabs>
          <w:tab w:val="num" w:pos="360"/>
        </w:tabs>
        <w:ind w:left="360" w:hanging="360"/>
      </w:pPr>
      <w:rPr>
        <w:rFonts w:ascii="Symbol" w:hAnsi="Symbol" w:hint="default"/>
      </w:rPr>
    </w:lvl>
  </w:abstractNum>
  <w:num w:numId="1">
    <w:abstractNumId w:val="5"/>
  </w:num>
  <w:num w:numId="2">
    <w:abstractNumId w:val="7"/>
  </w:num>
  <w:num w:numId="3">
    <w:abstractNumId w:val="4"/>
  </w:num>
  <w:num w:numId="4">
    <w:abstractNumId w:val="1"/>
  </w:num>
  <w:num w:numId="5">
    <w:abstractNumId w:val="3"/>
  </w:num>
  <w:num w:numId="6">
    <w:abstractNumId w:val="0"/>
  </w:num>
  <w:num w:numId="7">
    <w:abstractNumId w:val="6"/>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1296"/>
  <w:hyphenationZone w:val="396"/>
  <w:drawingGridHorizontalSpacing w:val="110"/>
  <w:displayHorizontalDrawingGridEvery w:val="2"/>
  <w:displayVerticalDrawingGridEvery w:val="2"/>
  <w:characterSpacingControl w:val="doNotCompress"/>
  <w:savePreviewPictur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85B4A"/>
    <w:rsid w:val="00072F85"/>
    <w:rsid w:val="00085B4A"/>
    <w:rsid w:val="000A5E72"/>
    <w:rsid w:val="000A7B60"/>
    <w:rsid w:val="00181364"/>
    <w:rsid w:val="002945D9"/>
    <w:rsid w:val="00305C48"/>
    <w:rsid w:val="003362C6"/>
    <w:rsid w:val="00497D4D"/>
    <w:rsid w:val="00742EBF"/>
    <w:rsid w:val="00B4219F"/>
    <w:rsid w:val="00BA6577"/>
    <w:rsid w:val="00C30905"/>
    <w:rsid w:val="00D358F2"/>
    <w:rsid w:val="00E76721"/>
    <w:rsid w:val="00EF4A4D"/>
    <w:rsid w:val="00FA6371"/>
  </w:rsids>
  <m:mathPr>
    <m:mathFont m:val="Cambria Math"/>
    <m:brkBin m:val="before"/>
    <m:brkBinSub m:val="--"/>
    <m:smallFrac m:val="0"/>
    <m:dispDef/>
    <m:lMargin m:val="0"/>
    <m:rMargin m:val="0"/>
    <m:defJc m:val="centerGroup"/>
    <m:wrapIndent m:val="1440"/>
    <m:intLim m:val="subSup"/>
    <m:naryLim m:val="undOvr"/>
  </m:mathPr>
  <w:themeFontLang w:val="lt-LT"/>
  <w:clrSchemeMapping w:bg1="light1" w:t1="dark1" w:bg2="light2" w:t2="dark2" w:accent1="accent1" w:accent2="accent2" w:accent3="accent3" w:accent4="accent4" w:accent5="accent5" w:accent6="accent6" w:hyperlink="hyperlink" w:followedHyperlink="followedHyperlink"/>
  <w:shapeDefaults>
    <o:shapedefaults v:ext="edit" spidmax="1027"/>
    <o:shapelayout v:ext="edit">
      <o:idmap v:ext="edit" data="1"/>
    </o:shapelayout>
  </w:shapeDefaults>
  <w:decimalSymbol w:val=","/>
  <w:listSeparator w:val=";"/>
  <w15:chartTrackingRefBased/>
  <w15:docId w15:val="{811C3DB2-8136-412A-9912-3857C24855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lt-LT"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prastasis">
    <w:name w:val="Normal"/>
    <w:qFormat/>
    <w:rsid w:val="00085B4A"/>
    <w:rPr>
      <w:rFonts w:ascii="Arial" w:hAnsi="Arial" w:cs="Arial"/>
      <w:sz w:val="20"/>
      <w:szCs w:val="20"/>
      <w:lang w:val="en-US"/>
    </w:rPr>
  </w:style>
  <w:style w:type="character" w:default="1" w:styleId="Numatytasispastraiposriftas">
    <w:name w:val="Default Paragraph Font"/>
    <w:uiPriority w:val="1"/>
    <w:semiHidden/>
    <w:unhideWhenUsed/>
  </w:style>
  <w:style w:type="table" w:default="1" w:styleId="prastojilentel">
    <w:name w:val="Normal Table"/>
    <w:uiPriority w:val="99"/>
    <w:semiHidden/>
    <w:unhideWhenUsed/>
    <w:tblPr>
      <w:tblInd w:w="0" w:type="dxa"/>
      <w:tblCellMar>
        <w:top w:w="0" w:type="dxa"/>
        <w:left w:w="108" w:type="dxa"/>
        <w:bottom w:w="0" w:type="dxa"/>
        <w:right w:w="108" w:type="dxa"/>
      </w:tblCellMar>
    </w:tblPr>
  </w:style>
  <w:style w:type="numbering" w:default="1" w:styleId="Sraonra">
    <w:name w:val="No List"/>
    <w:uiPriority w:val="99"/>
    <w:semiHidden/>
    <w:unhideWhenUsed/>
  </w:style>
  <w:style w:type="character" w:styleId="Hipersaitas">
    <w:name w:val="Hyperlink"/>
    <w:uiPriority w:val="99"/>
    <w:rsid w:val="00085B4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4.png"/><Relationship Id="rId3" Type="http://schemas.openxmlformats.org/officeDocument/2006/relationships/settings" Target="settings.xml"/><Relationship Id="rId7" Type="http://schemas.openxmlformats.org/officeDocument/2006/relationships/image" Target="media/image3.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fontTable" Target="fontTable.xml"/><Relationship Id="rId5" Type="http://schemas.openxmlformats.org/officeDocument/2006/relationships/image" Target="media/image1.png"/><Relationship Id="rId10" Type="http://schemas.openxmlformats.org/officeDocument/2006/relationships/hyperlink" Target="https://vvkt.lrv.lt/lt/" TargetMode="External"/><Relationship Id="rId4" Type="http://schemas.openxmlformats.org/officeDocument/2006/relationships/webSettings" Target="webSettings.xml"/><Relationship Id="rId9" Type="http://schemas.openxmlformats.org/officeDocument/2006/relationships/oleObject" Target="embeddings/oleObject1.bin"/></Relationships>
</file>

<file path=word/theme/theme1.xml><?xml version="1.0" encoding="utf-8"?>
<a:theme xmlns:a="http://schemas.openxmlformats.org/drawingml/2006/main" name="„Office“ tema">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7</Pages>
  <Words>9603</Words>
  <Characters>5475</Characters>
  <Application>Microsoft Office Word</Application>
  <DocSecurity>0</DocSecurity>
  <Lines>45</Lines>
  <Paragraphs>30</Paragraphs>
  <ScaleCrop>false</ScaleCrop>
  <HeadingPairs>
    <vt:vector size="4" baseType="variant">
      <vt:variant>
        <vt:lpstr>Pavadinimas</vt:lpstr>
      </vt:variant>
      <vt:variant>
        <vt:i4>1</vt:i4>
      </vt:variant>
      <vt:variant>
        <vt:lpstr>Antraštės</vt:lpstr>
      </vt:variant>
      <vt:variant>
        <vt:i4>10</vt:i4>
      </vt:variant>
    </vt:vector>
  </HeadingPairs>
  <TitlesOfParts>
    <vt:vector size="11" baseType="lpstr">
      <vt:lpstr/>
      <vt:lpstr>Kas žinotina prieš vartojant Tobradex</vt:lpstr>
      <vt:lpstr>Nėštumas ir žindymo laikotarpis</vt:lpstr>
      <vt:lpstr>Kaip vartoti Tobradex</vt:lpstr>
      <vt:lpstr>Negalima vartoti dvigubos dozės norint kompensuoti praleistą dozę. Jei užmiršote</vt:lpstr>
      <vt:lpstr>Tobradex sudėtis</vt:lpstr>
      <vt:lpstr>Tobradex išvaizda ir kiekis pakuotėje</vt:lpstr>
      <vt:lpstr>Registruotojas</vt:lpstr>
      <vt:lpstr>Latvija</vt:lpstr>
      <vt:lpstr/>
      <vt:lpstr>Gamintojas </vt:lpstr>
    </vt:vector>
  </TitlesOfParts>
  <Company/>
  <LinksUpToDate>false</LinksUpToDate>
  <CharactersWithSpaces>15048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Albina Burkauskaitė</dc:creator>
  <cp:keywords/>
  <dc:description/>
  <cp:lastModifiedBy>Albina Burkauskaitė</cp:lastModifiedBy>
  <cp:revision>1</cp:revision>
  <dcterms:created xsi:type="dcterms:W3CDTF">2025-02-11T12:50:00Z</dcterms:created>
  <dcterms:modified xsi:type="dcterms:W3CDTF">2025-02-11T12:51:00Z</dcterms:modified>
</cp:coreProperties>
</file>